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79" w:rsidRPr="005F6B79" w:rsidRDefault="00B25457" w:rsidP="005F6B79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Приложение 17</w:t>
      </w:r>
    </w:p>
    <w:p w:rsidR="005F6B79" w:rsidRDefault="005F6B79" w:rsidP="005F6B79">
      <w:pPr>
        <w:spacing w:after="0" w:line="240" w:lineRule="auto"/>
        <w:ind w:left="637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5F6B79" w:rsidRDefault="005F6B79" w:rsidP="005F6B79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5F6B79" w:rsidRDefault="005F6B79" w:rsidP="005F6B79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5F6B79" w:rsidRDefault="005F6B79" w:rsidP="005F6B79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596692" w:rsidRPr="005F6B79" w:rsidRDefault="00596692" w:rsidP="00596692">
      <w:pPr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КАТАЛОГ КОМПЕТЕНЦИЙ</w:t>
      </w:r>
    </w:p>
    <w:p w:rsidR="00596692" w:rsidRPr="00C4542A" w:rsidRDefault="005F6B79" w:rsidP="00596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«Врач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эндокринолог</w:t>
      </w:r>
      <w:r w:rsidR="00596692" w:rsidRPr="00C4542A">
        <w:rPr>
          <w:rFonts w:ascii="Times New Roman" w:hAnsi="Times New Roman" w:cs="Times New Roman"/>
          <w:sz w:val="24"/>
          <w:szCs w:val="24"/>
        </w:rPr>
        <w:t>»</w:t>
      </w:r>
    </w:p>
    <w:p w:rsidR="00596692" w:rsidRPr="00C4542A" w:rsidRDefault="00596692" w:rsidP="00596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ПОСЛЕДИПЛОМНЫЙ УРОВЕНЬ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</w:p>
    <w:p w:rsidR="00752A6C" w:rsidRDefault="005F6B79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компетенций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(последипломный у</w:t>
      </w:r>
      <w:r>
        <w:rPr>
          <w:rFonts w:ascii="Times New Roman" w:hAnsi="Times New Roman" w:cs="Times New Roman"/>
          <w:sz w:val="24"/>
          <w:szCs w:val="24"/>
        </w:rPr>
        <w:t xml:space="preserve">ровень) по специальности “Врач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эндокринолог</w:t>
      </w:r>
      <w:r w:rsidR="00596692" w:rsidRPr="00C4542A">
        <w:rPr>
          <w:rFonts w:ascii="Times New Roman" w:hAnsi="Times New Roman" w:cs="Times New Roman"/>
          <w:sz w:val="24"/>
          <w:szCs w:val="24"/>
        </w:rPr>
        <w:t>” разработан рабочей группой в составе</w:t>
      </w:r>
      <w:r w:rsidR="00596692">
        <w:rPr>
          <w:rFonts w:ascii="Times New Roman" w:hAnsi="Times New Roman" w:cs="Times New Roman"/>
          <w:sz w:val="24"/>
          <w:szCs w:val="24"/>
        </w:rPr>
        <w:t xml:space="preserve">: </w:t>
      </w:r>
      <w:r w:rsidR="00596692" w:rsidRPr="00C4542A">
        <w:rPr>
          <w:rFonts w:ascii="Times New Roman" w:hAnsi="Times New Roman" w:cs="Times New Roman"/>
          <w:sz w:val="24"/>
          <w:szCs w:val="24"/>
        </w:rPr>
        <w:t>Молдобаевой М.С. (председатель, д.м.н.,проф. зав.каф. пропедевтики внутренних болезней с курсом эндокринологии), Толомбаевой Н.Т</w:t>
      </w:r>
      <w:r w:rsidR="00596692">
        <w:rPr>
          <w:rFonts w:ascii="Times New Roman" w:hAnsi="Times New Roman" w:cs="Times New Roman"/>
          <w:sz w:val="24"/>
          <w:szCs w:val="24"/>
        </w:rPr>
        <w:t xml:space="preserve">., </w:t>
      </w:r>
      <w:r w:rsidR="00596692" w:rsidRPr="00C4542A">
        <w:rPr>
          <w:rFonts w:ascii="Times New Roman" w:hAnsi="Times New Roman" w:cs="Times New Roman"/>
          <w:sz w:val="24"/>
          <w:szCs w:val="24"/>
        </w:rPr>
        <w:t>Аттокуровой Р.М.</w:t>
      </w:r>
      <w:r w:rsidR="00596692">
        <w:rPr>
          <w:rFonts w:ascii="Times New Roman" w:hAnsi="Times New Roman" w:cs="Times New Roman"/>
          <w:sz w:val="24"/>
          <w:szCs w:val="24"/>
        </w:rPr>
        <w:t>(</w:t>
      </w:r>
      <w:r w:rsidR="00596692" w:rsidRPr="00C4542A">
        <w:rPr>
          <w:rFonts w:ascii="Times New Roman" w:hAnsi="Times New Roman" w:cs="Times New Roman"/>
          <w:sz w:val="24"/>
          <w:szCs w:val="24"/>
        </w:rPr>
        <w:t>заместитель председателя),Петровой А.С., Виноградовой А.В., ДжусупбековойШ.Б</w:t>
      </w:r>
      <w:r w:rsidR="00423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692" w:rsidRPr="00C4542A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</w:t>
      </w:r>
      <w:r w:rsidR="005F6B79">
        <w:rPr>
          <w:rFonts w:ascii="Times New Roman" w:hAnsi="Times New Roman" w:cs="Times New Roman"/>
          <w:sz w:val="24"/>
          <w:szCs w:val="24"/>
        </w:rPr>
        <w:t xml:space="preserve">зования по специальности «Врач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</w:t>
      </w:r>
      <w:r w:rsidR="00FE019C">
        <w:rPr>
          <w:rFonts w:ascii="Times New Roman" w:hAnsi="Times New Roman" w:cs="Times New Roman"/>
          <w:sz w:val="24"/>
          <w:szCs w:val="24"/>
        </w:rPr>
        <w:t>.</w:t>
      </w:r>
    </w:p>
    <w:p w:rsidR="00752A6C" w:rsidRPr="00D22FFF" w:rsidRDefault="00752A6C" w:rsidP="00752A6C">
      <w:pPr>
        <w:pStyle w:val="2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FF">
        <w:rPr>
          <w:rFonts w:ascii="Times New Roman" w:eastAsia="Times New Roman" w:hAnsi="Times New Roman" w:cs="Times New Roman"/>
          <w:sz w:val="24"/>
          <w:szCs w:val="24"/>
        </w:rPr>
        <w:t>Каталог широко обсуждался сотрудниками КГМА им. И.К. Ахунбаева,</w:t>
      </w:r>
      <w:r w:rsidR="005F6B79">
        <w:rPr>
          <w:rFonts w:ascii="Times New Roman" w:hAnsi="Times New Roman" w:cs="Times New Roman"/>
          <w:sz w:val="24"/>
          <w:szCs w:val="24"/>
        </w:rPr>
        <w:t xml:space="preserve">  МВШМ</w:t>
      </w:r>
      <w:r w:rsidRPr="00D22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КРСУ</w:t>
      </w:r>
      <w:r w:rsidR="00D73C9B" w:rsidRPr="00D7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C9B">
        <w:rPr>
          <w:rFonts w:ascii="Times New Roman" w:eastAsia="Times New Roman" w:hAnsi="Times New Roman" w:cs="Times New Roman"/>
          <w:sz w:val="24"/>
          <w:szCs w:val="24"/>
        </w:rPr>
        <w:t>им. Б.Н. Ельцина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FFF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Pr="00D22FFF">
        <w:rPr>
          <w:rFonts w:ascii="Times New Roman" w:hAnsi="Times New Roman" w:cs="Times New Roman"/>
          <w:sz w:val="24"/>
          <w:szCs w:val="24"/>
        </w:rPr>
        <w:t>ОО эндокринологов и диабетологов</w:t>
      </w:r>
      <w:r w:rsidR="00D73C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22FFF">
        <w:rPr>
          <w:rFonts w:ascii="Times New Roman" w:hAnsi="Times New Roman" w:cs="Times New Roman"/>
          <w:sz w:val="24"/>
          <w:szCs w:val="24"/>
        </w:rPr>
        <w:t>КР</w:t>
      </w:r>
      <w:r w:rsidRPr="00D22FFF">
        <w:rPr>
          <w:rFonts w:ascii="Times New Roman" w:eastAsia="Times New Roman" w:hAnsi="Times New Roman" w:cs="Times New Roman"/>
          <w:sz w:val="24"/>
          <w:szCs w:val="24"/>
        </w:rPr>
        <w:t>, практикующими врачами.</w:t>
      </w:r>
    </w:p>
    <w:p w:rsidR="005F6B79" w:rsidRDefault="005F6B79" w:rsidP="00C80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74" w:rsidRPr="00037377" w:rsidRDefault="00596692" w:rsidP="00C80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Внешние консультанты: </w:t>
      </w:r>
      <w:r w:rsidR="005426A9" w:rsidRPr="00037377">
        <w:rPr>
          <w:rFonts w:ascii="Times New Roman" w:eastAsia="Times New Roman" w:hAnsi="Times New Roman" w:cs="Times New Roman"/>
          <w:sz w:val="24"/>
          <w:szCs w:val="24"/>
        </w:rPr>
        <w:t xml:space="preserve">Султаналиева Р.Б., </w:t>
      </w:r>
      <w:r w:rsidR="00C80974" w:rsidRPr="00037377">
        <w:rPr>
          <w:rFonts w:ascii="Times New Roman" w:eastAsia="Times New Roman" w:hAnsi="Times New Roman" w:cs="Times New Roman"/>
          <w:sz w:val="24"/>
          <w:szCs w:val="24"/>
        </w:rPr>
        <w:t xml:space="preserve">- д.м.н., профессор. зав. курсом эндокринологии КРСУ; </w:t>
      </w:r>
      <w:r w:rsidR="005426A9" w:rsidRPr="00037377">
        <w:rPr>
          <w:rFonts w:ascii="Times New Roman" w:eastAsia="Times New Roman" w:hAnsi="Times New Roman" w:cs="Times New Roman"/>
          <w:sz w:val="24"/>
          <w:szCs w:val="24"/>
        </w:rPr>
        <w:t>Лопат</w:t>
      </w:r>
      <w:r w:rsidR="00B77E08" w:rsidRPr="0003737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426A9" w:rsidRPr="00037377">
        <w:rPr>
          <w:rFonts w:ascii="Times New Roman" w:eastAsia="Times New Roman" w:hAnsi="Times New Roman" w:cs="Times New Roman"/>
          <w:sz w:val="24"/>
          <w:szCs w:val="24"/>
        </w:rPr>
        <w:t xml:space="preserve">ина </w:t>
      </w:r>
      <w:r w:rsidR="00C80974" w:rsidRPr="00037377">
        <w:rPr>
          <w:rFonts w:ascii="Times New Roman" w:eastAsia="Times New Roman" w:hAnsi="Times New Roman" w:cs="Times New Roman"/>
          <w:sz w:val="24"/>
          <w:szCs w:val="24"/>
        </w:rPr>
        <w:t xml:space="preserve"> И.Н. – к.</w:t>
      </w:r>
      <w:r w:rsidR="00037377" w:rsidRPr="00037377">
        <w:rPr>
          <w:rFonts w:ascii="Times New Roman" w:eastAsia="Times New Roman" w:hAnsi="Times New Roman" w:cs="Times New Roman"/>
          <w:sz w:val="24"/>
          <w:szCs w:val="24"/>
        </w:rPr>
        <w:t>м.н</w:t>
      </w:r>
      <w:r w:rsidR="00C80974" w:rsidRPr="00037377">
        <w:rPr>
          <w:rFonts w:ascii="Times New Roman" w:eastAsia="Times New Roman" w:hAnsi="Times New Roman" w:cs="Times New Roman"/>
          <w:sz w:val="24"/>
          <w:szCs w:val="24"/>
        </w:rPr>
        <w:t>, доцент     зав</w:t>
      </w:r>
      <w:r w:rsidR="00037377" w:rsidRPr="00037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6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377" w:rsidRPr="00037377">
        <w:rPr>
          <w:rFonts w:ascii="Times New Roman" w:eastAsia="Times New Roman" w:hAnsi="Times New Roman" w:cs="Times New Roman"/>
          <w:sz w:val="24"/>
          <w:szCs w:val="24"/>
        </w:rPr>
        <w:t>каф.</w:t>
      </w:r>
      <w:r w:rsidR="00C80974" w:rsidRPr="00037377">
        <w:rPr>
          <w:rFonts w:ascii="Times New Roman" w:eastAsia="Times New Roman" w:hAnsi="Times New Roman" w:cs="Times New Roman"/>
          <w:sz w:val="24"/>
          <w:szCs w:val="24"/>
        </w:rPr>
        <w:t xml:space="preserve"> терапии №1 КРСУ</w:t>
      </w:r>
      <w:r w:rsidR="00D73C9B" w:rsidRPr="00D7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C9B">
        <w:rPr>
          <w:rFonts w:ascii="Times New Roman" w:eastAsia="Times New Roman" w:hAnsi="Times New Roman" w:cs="Times New Roman"/>
          <w:sz w:val="24"/>
          <w:szCs w:val="24"/>
        </w:rPr>
        <w:t>им. Б.Н. Ельцина</w:t>
      </w:r>
      <w:r w:rsidR="00037377" w:rsidRPr="00037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74" w:rsidRPr="00037377" w:rsidRDefault="00C80974" w:rsidP="00C80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Default="00596692" w:rsidP="005F6B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                                        </w:t>
      </w:r>
    </w:p>
    <w:p w:rsidR="00596692" w:rsidRPr="00AD3BEE" w:rsidRDefault="00FE019C" w:rsidP="00596692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EE">
        <w:rPr>
          <w:rFonts w:ascii="Times New Roman" w:hAnsi="Times New Roman" w:cs="Times New Roman"/>
          <w:sz w:val="24"/>
          <w:szCs w:val="24"/>
        </w:rPr>
        <w:t xml:space="preserve">Маматов С.М. </w:t>
      </w:r>
      <w:r>
        <w:rPr>
          <w:rFonts w:ascii="Times New Roman" w:hAnsi="Times New Roman" w:cs="Times New Roman"/>
          <w:sz w:val="24"/>
          <w:szCs w:val="24"/>
        </w:rPr>
        <w:t xml:space="preserve">- д.м.н., профессор, </w:t>
      </w:r>
      <w:r w:rsidR="00596692" w:rsidRPr="00AD3BEE">
        <w:rPr>
          <w:rFonts w:ascii="Times New Roman" w:hAnsi="Times New Roman" w:cs="Times New Roman"/>
          <w:sz w:val="24"/>
          <w:szCs w:val="24"/>
        </w:rPr>
        <w:t>зав.каф.госпитальной терапии, профпатологии с курсом гематологии КГМА</w:t>
      </w:r>
      <w:r w:rsidR="005F6B79">
        <w:rPr>
          <w:rFonts w:ascii="Times New Roman" w:hAnsi="Times New Roman" w:cs="Times New Roman"/>
          <w:sz w:val="24"/>
          <w:szCs w:val="24"/>
        </w:rPr>
        <w:t xml:space="preserve"> им.И.К.Ахунбаева</w:t>
      </w:r>
      <w:r w:rsidR="00037377">
        <w:rPr>
          <w:rFonts w:ascii="Times New Roman" w:hAnsi="Times New Roman" w:cs="Times New Roman"/>
          <w:sz w:val="24"/>
          <w:szCs w:val="24"/>
        </w:rPr>
        <w:t>.</w:t>
      </w:r>
    </w:p>
    <w:p w:rsidR="00596692" w:rsidRPr="00AD3BEE" w:rsidRDefault="00FE019C" w:rsidP="00596692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E">
        <w:rPr>
          <w:rFonts w:ascii="Times New Roman" w:hAnsi="Times New Roman" w:cs="Times New Roman"/>
          <w:sz w:val="24"/>
          <w:szCs w:val="24"/>
        </w:rPr>
        <w:t>Сулайманова Ч.Т.</w:t>
      </w:r>
      <w:r>
        <w:rPr>
          <w:rFonts w:ascii="Times New Roman" w:hAnsi="Times New Roman" w:cs="Times New Roman"/>
          <w:sz w:val="24"/>
          <w:szCs w:val="24"/>
        </w:rPr>
        <w:t>- к.м.н., доцент,</w:t>
      </w:r>
      <w:r w:rsidR="00596692" w:rsidRPr="00AD3BEE">
        <w:rPr>
          <w:rFonts w:ascii="Times New Roman" w:hAnsi="Times New Roman" w:cs="Times New Roman"/>
          <w:sz w:val="24"/>
          <w:szCs w:val="24"/>
        </w:rPr>
        <w:t xml:space="preserve"> зав.каф. общественного здоровья и здравоохран</w:t>
      </w:r>
      <w:r w:rsidR="005F6B79">
        <w:rPr>
          <w:rFonts w:ascii="Times New Roman" w:hAnsi="Times New Roman" w:cs="Times New Roman"/>
          <w:sz w:val="24"/>
          <w:szCs w:val="24"/>
        </w:rPr>
        <w:t>ения МВШМ.</w:t>
      </w:r>
    </w:p>
    <w:p w:rsidR="00596692" w:rsidRPr="00AD3BEE" w:rsidRDefault="00596692" w:rsidP="00596692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019C" w:rsidRDefault="00FE019C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FE019C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Определение понятия специалиста  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эндокринолог</w:t>
      </w:r>
      <w:r w:rsidR="00596692" w:rsidRPr="00C4542A">
        <w:rPr>
          <w:rFonts w:ascii="Times New Roman" w:hAnsi="Times New Roman" w:cs="Times New Roman"/>
          <w:sz w:val="24"/>
          <w:szCs w:val="24"/>
        </w:rPr>
        <w:t>»</w:t>
      </w:r>
    </w:p>
    <w:p w:rsidR="00596692" w:rsidRPr="00C4542A" w:rsidRDefault="00FE019C" w:rsidP="00FE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Основные принципы работы  специалиста«Врач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эндокринолог</w:t>
      </w:r>
      <w:r w:rsidR="00596692" w:rsidRPr="00C4542A">
        <w:rPr>
          <w:rFonts w:ascii="Times New Roman" w:hAnsi="Times New Roman" w:cs="Times New Roman"/>
          <w:sz w:val="24"/>
          <w:szCs w:val="24"/>
        </w:rPr>
        <w:t>»</w:t>
      </w:r>
    </w:p>
    <w:p w:rsidR="00596692" w:rsidRPr="00C4542A" w:rsidRDefault="00FE019C" w:rsidP="00FE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Предназначение документа</w:t>
      </w:r>
    </w:p>
    <w:p w:rsidR="00596692" w:rsidRPr="00C4542A" w:rsidRDefault="00FE019C" w:rsidP="00FE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1.4. </w:t>
      </w:r>
      <w:r w:rsidR="00596692" w:rsidRPr="00C4542A">
        <w:rPr>
          <w:rFonts w:ascii="Times New Roman" w:hAnsi="Times New Roman" w:cs="Times New Roman"/>
          <w:sz w:val="24"/>
          <w:szCs w:val="24"/>
        </w:rPr>
        <w:t>Пользователи документа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FE019C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эндокринолог</w:t>
      </w:r>
      <w:r w:rsidR="00596692" w:rsidRPr="00C4542A">
        <w:rPr>
          <w:rFonts w:ascii="Times New Roman" w:hAnsi="Times New Roman" w:cs="Times New Roman"/>
          <w:sz w:val="24"/>
          <w:szCs w:val="24"/>
        </w:rPr>
        <w:t>» как медицинский специалист/эксперт</w:t>
      </w:r>
    </w:p>
    <w:p w:rsidR="00596692" w:rsidRPr="00C4542A" w:rsidRDefault="00FE019C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596692" w:rsidRPr="00C4542A">
        <w:rPr>
          <w:rFonts w:ascii="Times New Roman" w:hAnsi="Times New Roman" w:cs="Times New Roman"/>
          <w:sz w:val="24"/>
          <w:szCs w:val="24"/>
        </w:rPr>
        <w:t>Коммуникативные навыки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b/>
          <w:caps/>
          <w:sz w:val="24"/>
          <w:szCs w:val="24"/>
        </w:rPr>
        <w:t>глава 3. СПЕЦИАЛЬНЫЕ ЗАДАЧИ (ПРОФЕССИОНАЛЬНЫЕ КОМПЕТЕНЦИИ)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96692" w:rsidRPr="00FE019C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96692" w:rsidRPr="00FE019C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96692" w:rsidRPr="00FE019C">
        <w:rPr>
          <w:rFonts w:ascii="Times New Roman" w:hAnsi="Times New Roman" w:cs="Times New Roman"/>
          <w:sz w:val="24"/>
          <w:szCs w:val="24"/>
        </w:rPr>
        <w:t>Общие проблемы  пациента (Перечень 3)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96692" w:rsidRPr="00FE019C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596692" w:rsidRPr="00FE019C" w:rsidRDefault="00FE019C" w:rsidP="00FE0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96692" w:rsidRPr="00FE019C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596692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556054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ГЛАВА4. КРИТЕРИИ ПРИЗНАНИЯ И КЛАССИФИКАЦИЯ УЧРЕЖДЕНИЙ ПОСЛЕДИПЛОМНОГО ОБРАЗОВАНИЯ</w:t>
      </w:r>
    </w:p>
    <w:p w:rsidR="00596692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96692" w:rsidRPr="00E75B51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96692" w:rsidRPr="00E75B51" w:rsidRDefault="00596692" w:rsidP="005966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  5.   ПОЛОЖЕНИЕ ОБ ЭКЗАМЕНЕ/ АТТЕСТАЦИИ</w:t>
      </w:r>
    </w:p>
    <w:p w:rsidR="00596692" w:rsidRDefault="00596692" w:rsidP="0059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92" w:rsidRDefault="00596692" w:rsidP="00596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92" w:rsidRDefault="00596692" w:rsidP="0059669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596692" w:rsidRPr="00E75B51" w:rsidRDefault="00596692" w:rsidP="0059669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96692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6A2683">
        <w:rPr>
          <w:rFonts w:ascii="Times New Roman" w:hAnsi="Times New Roman" w:cs="Times New Roman"/>
          <w:sz w:val="24"/>
          <w:szCs w:val="24"/>
        </w:rPr>
        <w:t xml:space="preserve"> 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 </w:t>
      </w:r>
    </w:p>
    <w:p w:rsidR="00596692" w:rsidRDefault="00596692" w:rsidP="00596692">
      <w:pPr>
        <w:pStyle w:val="Pa18"/>
        <w:spacing w:line="276" w:lineRule="auto"/>
        <w:ind w:firstLine="380"/>
        <w:jc w:val="both"/>
        <w:rPr>
          <w:rFonts w:eastAsia="BalticaC"/>
        </w:rPr>
      </w:pPr>
      <w:r>
        <w:t>Заболевания</w:t>
      </w:r>
      <w:r w:rsidR="005F6B79">
        <w:t xml:space="preserve"> </w:t>
      </w:r>
      <w:r>
        <w:t>эндокринной системы</w:t>
      </w:r>
      <w:r w:rsidRPr="00C4542A">
        <w:t xml:space="preserve"> относятся к числу распространенных заболеваний в терапевтической практике</w:t>
      </w:r>
      <w:r>
        <w:t xml:space="preserve">.  </w:t>
      </w:r>
      <w:r w:rsidRPr="003F4BA4">
        <w:rPr>
          <w:rFonts w:eastAsia="BalticaC"/>
          <w:color w:val="000000"/>
        </w:rPr>
        <w:t xml:space="preserve">По последним данным, численность больных </w:t>
      </w:r>
      <w:r>
        <w:rPr>
          <w:rFonts w:eastAsia="BalticaC"/>
          <w:color w:val="000000"/>
        </w:rPr>
        <w:t>сахарным диабетом (</w:t>
      </w:r>
      <w:r w:rsidRPr="003F4BA4">
        <w:rPr>
          <w:rFonts w:eastAsia="BalticaC"/>
          <w:color w:val="000000"/>
        </w:rPr>
        <w:t>СД</w:t>
      </w:r>
      <w:r>
        <w:rPr>
          <w:rFonts w:eastAsia="BalticaC"/>
          <w:color w:val="000000"/>
        </w:rPr>
        <w:t>)</w:t>
      </w:r>
      <w:r w:rsidRPr="003F4BA4">
        <w:rPr>
          <w:rFonts w:eastAsia="BalticaC"/>
          <w:color w:val="000000"/>
        </w:rPr>
        <w:t xml:space="preserve"> в мире за последние 10 лет увели</w:t>
      </w:r>
      <w:r>
        <w:rPr>
          <w:rFonts w:eastAsia="BalticaC"/>
          <w:color w:val="000000"/>
        </w:rPr>
        <w:t>чилась более, чем в 2 раза.</w:t>
      </w:r>
      <w:r w:rsidRPr="003F4BA4">
        <w:rPr>
          <w:rFonts w:eastAsia="BalticaC"/>
          <w:color w:val="000000"/>
        </w:rPr>
        <w:t xml:space="preserve"> Согласно прогнозам Международной диабетической федерации к 2040 году</w:t>
      </w:r>
      <w:r w:rsidR="005F6B79">
        <w:rPr>
          <w:rFonts w:eastAsia="BalticaC"/>
          <w:color w:val="000000"/>
        </w:rPr>
        <w:t xml:space="preserve"> </w:t>
      </w:r>
      <w:r w:rsidRPr="003F4BA4">
        <w:rPr>
          <w:rFonts w:eastAsia="BalticaC"/>
          <w:color w:val="000000"/>
        </w:rPr>
        <w:t>СД будет страдать 642 млн человек. Самыми опасными последствиями глобальной эпидемии СД являются его системные сосудистые осложнения – нефропатия, ретинопатия, поражение магистральных сосудов сердца, головного мозга, периферических сосудов нижнихконечностей. Именно эти осложнения являются основной причиной инвалидизации и смертности больных СД.</w:t>
      </w:r>
      <w:r w:rsidR="005F6B79">
        <w:rPr>
          <w:rFonts w:eastAsia="BalticaC"/>
          <w:color w:val="000000"/>
        </w:rPr>
        <w:t xml:space="preserve"> </w:t>
      </w:r>
      <w:r w:rsidRPr="00784630">
        <w:rPr>
          <w:color w:val="000000"/>
        </w:rPr>
        <w:t>Еще более стремительно увеличивается доля насе</w:t>
      </w:r>
      <w:r w:rsidRPr="00784630">
        <w:rPr>
          <w:color w:val="000000"/>
        </w:rPr>
        <w:softHyphen/>
        <w:t>ления с предиабетом (нарушением толерантности к глюкозе), их численность уже сейчас составляет более 318 млн человек, а к 2040 г. увеличится до 481 млн человек</w:t>
      </w:r>
      <w:r>
        <w:rPr>
          <w:color w:val="000000"/>
        </w:rPr>
        <w:t>. В Кыргызстане такая же тенденция и</w:t>
      </w:r>
      <w:r w:rsidRPr="00E457B7">
        <w:rPr>
          <w:color w:val="000000"/>
        </w:rPr>
        <w:t xml:space="preserve">фактическая распространенность заболевания в нашей стране в 3–4 раза </w:t>
      </w:r>
      <w:r>
        <w:rPr>
          <w:color w:val="000000"/>
        </w:rPr>
        <w:t xml:space="preserve">может </w:t>
      </w:r>
      <w:r w:rsidRPr="00E457B7">
        <w:rPr>
          <w:color w:val="000000"/>
        </w:rPr>
        <w:t>превыша</w:t>
      </w:r>
      <w:r>
        <w:rPr>
          <w:color w:val="000000"/>
        </w:rPr>
        <w:t>ть</w:t>
      </w:r>
      <w:r w:rsidRPr="00E457B7">
        <w:rPr>
          <w:color w:val="000000"/>
        </w:rPr>
        <w:t xml:space="preserve"> официально зарегистрированную и, по данным IDF, должна составлять примерно 180200 человек</w:t>
      </w:r>
      <w:r>
        <w:rPr>
          <w:color w:val="000000"/>
        </w:rPr>
        <w:t>.</w:t>
      </w:r>
      <w:r w:rsidR="005F6B79">
        <w:rPr>
          <w:color w:val="000000"/>
        </w:rPr>
        <w:t xml:space="preserve"> </w:t>
      </w:r>
      <w:r w:rsidRPr="00786116">
        <w:rPr>
          <w:rFonts w:eastAsia="BalticaC"/>
        </w:rPr>
        <w:t xml:space="preserve">Профилактика и лечение СД и, особенно его осложнений, требует больших материальных </w:t>
      </w:r>
      <w:r w:rsidRPr="00786116">
        <w:rPr>
          <w:rFonts w:eastAsia="BalticaC"/>
        </w:rPr>
        <w:lastRenderedPageBreak/>
        <w:t>затрат не только от пациента, но и от государственного здравоохранения. Своевременная диагностика и эффективное лечение СД позволили бы отсрочить появление осложнений и сэкономить затраты на их лечение.  Население Кыргызской Республики подвержено заболеваниям щитовидной железы: эндемический зоб, тиреотоксикоз, тиреоидиты и другие. Поэтому были приняты ряд государственных документов по профилактике и борьбе с йододефицитом. Другие болезни эндокринной системы также растут, несмотря на их позднюю диагностику. Таким образом, эндокринные заболевания причиняют достаточный ущерб здоровью насел</w:t>
      </w:r>
      <w:r>
        <w:rPr>
          <w:rFonts w:eastAsia="BalticaC"/>
        </w:rPr>
        <w:t>ению КР.</w:t>
      </w:r>
    </w:p>
    <w:p w:rsidR="00596692" w:rsidRPr="00D22FFF" w:rsidRDefault="00596692" w:rsidP="00596692">
      <w:pPr>
        <w:pStyle w:val="Pa18"/>
        <w:spacing w:line="276" w:lineRule="auto"/>
        <w:ind w:firstLine="380"/>
        <w:jc w:val="both"/>
        <w:rPr>
          <w:rFonts w:eastAsia="Calibri"/>
        </w:rPr>
      </w:pPr>
      <w:r w:rsidRPr="00786116">
        <w:rPr>
          <w:rFonts w:eastAsia="Times New Roman"/>
        </w:rPr>
        <w:t>При разработке документа также приняты во внимание международные стандарты подготовки «</w:t>
      </w:r>
      <w:r>
        <w:rPr>
          <w:rFonts w:eastAsia="Times New Roman"/>
        </w:rPr>
        <w:t>В</w:t>
      </w:r>
      <w:r w:rsidRPr="00786116">
        <w:t>рача-эндокринолога»</w:t>
      </w:r>
      <w:r w:rsidRPr="00786116">
        <w:rPr>
          <w:rFonts w:eastAsia="Times New Roman"/>
        </w:rPr>
        <w:t xml:space="preserve"> но особо учитывался тот факт, что продолжительность последипломной подготовки составляет 2 года после прохождения ординатуры «Врач общей практики»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596692" w:rsidRPr="00786116" w:rsidRDefault="00596692" w:rsidP="00596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96692" w:rsidRPr="00C4542A" w:rsidRDefault="00596692" w:rsidP="00B77E08">
      <w:pPr>
        <w:pStyle w:val="ab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Определение понятия специалиста  «Врач  </w:t>
      </w:r>
      <w:r>
        <w:rPr>
          <w:rFonts w:ascii="Times New Roman" w:hAnsi="Times New Roman" w:cs="Times New Roman"/>
          <w:b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b/>
          <w:sz w:val="24"/>
          <w:szCs w:val="24"/>
        </w:rPr>
        <w:t>олог».</w:t>
      </w:r>
    </w:p>
    <w:p w:rsidR="00596692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 - это специалист</w:t>
      </w:r>
      <w:r w:rsidR="005F6B79">
        <w:rPr>
          <w:rFonts w:ascii="Times New Roman" w:hAnsi="Times New Roman" w:cs="Times New Roman"/>
          <w:sz w:val="24"/>
          <w:szCs w:val="24"/>
        </w:rPr>
        <w:t xml:space="preserve">, </w:t>
      </w:r>
      <w:r w:rsidRPr="00C4542A">
        <w:rPr>
          <w:rFonts w:ascii="Times New Roman" w:hAnsi="Times New Roman" w:cs="Times New Roman"/>
          <w:sz w:val="24"/>
          <w:szCs w:val="24"/>
        </w:rPr>
        <w:t>завершивший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обучение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</w:t>
      </w:r>
      <w:r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C454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ология», который обязан владеть врачебным манипуляциями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ологического профиля, то есть уметь оказывать квалифицированную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ологическую помощь взрослым при распространенных заболеваниях  </w:t>
      </w:r>
      <w:r>
        <w:rPr>
          <w:rFonts w:ascii="Times New Roman" w:hAnsi="Times New Roman" w:cs="Times New Roman"/>
          <w:sz w:val="24"/>
          <w:szCs w:val="24"/>
        </w:rPr>
        <w:t>эндокринной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системы и проводить основные лечебно-диагностические  мероприятия, а также владеть методами формирования здорового  образа жизни и неукоснительно соблюдать требования  врачебной  этики и медицинской  деонтологии при проведении среди населения оздоровительных, профилактических, лечебно </w:t>
      </w:r>
      <w:r w:rsidR="005F6B79">
        <w:rPr>
          <w:rFonts w:ascii="Times New Roman" w:hAnsi="Times New Roman" w:cs="Times New Roman"/>
          <w:sz w:val="24"/>
          <w:szCs w:val="24"/>
        </w:rPr>
        <w:t xml:space="preserve">- </w:t>
      </w:r>
      <w:r w:rsidRPr="00C4542A">
        <w:rPr>
          <w:rFonts w:ascii="Times New Roman" w:hAnsi="Times New Roman" w:cs="Times New Roman"/>
          <w:sz w:val="24"/>
          <w:szCs w:val="24"/>
        </w:rPr>
        <w:t>диагностических и реабилитационных мероприятий в амбулаторно-поликлинических условиях, в стационаре  и на дому.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1.2. Основные принципы работы специалиста «Врача </w:t>
      </w:r>
      <w:r>
        <w:rPr>
          <w:rFonts w:ascii="Times New Roman" w:hAnsi="Times New Roman" w:cs="Times New Roman"/>
          <w:b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b/>
          <w:sz w:val="24"/>
          <w:szCs w:val="24"/>
        </w:rPr>
        <w:t>олога»</w:t>
      </w:r>
    </w:p>
    <w:p w:rsidR="00596692" w:rsidRPr="00C4542A" w:rsidRDefault="00596692" w:rsidP="00ED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«Врач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олог»использует в своей работе следующие принципы: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 помощи;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Одновременное лечение как острых, так и хронических заболеваний </w:t>
      </w:r>
      <w:r>
        <w:rPr>
          <w:rFonts w:ascii="Times New Roman" w:hAnsi="Times New Roman" w:cs="Times New Roman"/>
          <w:sz w:val="24"/>
          <w:szCs w:val="24"/>
        </w:rPr>
        <w:t>эндокринной</w:t>
      </w:r>
      <w:r w:rsidRPr="00C4542A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Профилактическая направленность помощи для предупреждения воздействия факторов риска развития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ологической патологии путем информирования населения и групп риска;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Длительность и непрерывность помощи на основе потребности каждого пациента;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Координация медицинской помощи пациенту;</w:t>
      </w:r>
    </w:p>
    <w:p w:rsidR="00596692" w:rsidRPr="00C4542A" w:rsidRDefault="00596692" w:rsidP="00B77E08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Принцип экономическая эффективность и целесообразность помощи;</w:t>
      </w:r>
    </w:p>
    <w:p w:rsidR="00596692" w:rsidRPr="00C4542A" w:rsidRDefault="00596692" w:rsidP="00B77E0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Уважение прав пациента на самоопределение и учет мнения членов его семьи.</w:t>
      </w:r>
    </w:p>
    <w:p w:rsidR="00596692" w:rsidRPr="00C4542A" w:rsidRDefault="00596692" w:rsidP="00ED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1.3.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Предназначение документа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Данный Каталог компетенций должен стать частью нормативных актов для последипломной подготовки  «Врач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олог». На основании данного каталога: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Определяются:</w:t>
      </w:r>
    </w:p>
    <w:p w:rsidR="00596692" w:rsidRPr="00C4542A" w:rsidRDefault="00596692" w:rsidP="00B77E08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цель и содержание последипломного обучения врача-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</w:t>
      </w:r>
    </w:p>
    <w:p w:rsidR="00596692" w:rsidRPr="00C4542A" w:rsidRDefault="00596692" w:rsidP="00B77E08">
      <w:pPr>
        <w:pStyle w:val="ab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уровень профессиональных  компетенций, знаний и практических навыков </w:t>
      </w:r>
    </w:p>
    <w:p w:rsidR="00596692" w:rsidRPr="00C4542A" w:rsidRDefault="00596692" w:rsidP="00596692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врача </w:t>
      </w:r>
      <w:r>
        <w:rPr>
          <w:rFonts w:ascii="Times New Roman" w:hAnsi="Times New Roman" w:cs="Times New Roman"/>
          <w:sz w:val="24"/>
          <w:szCs w:val="24"/>
        </w:rPr>
        <w:t>- 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596692" w:rsidRPr="00C4542A" w:rsidRDefault="00596692" w:rsidP="00B77E08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программы подготовки врача-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олога;</w:t>
      </w:r>
    </w:p>
    <w:p w:rsidR="00596692" w:rsidRPr="00C4542A" w:rsidRDefault="00596692" w:rsidP="00B77E08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критерии оценки качества подготовки врача</w:t>
      </w:r>
      <w:r>
        <w:rPr>
          <w:rFonts w:ascii="Times New Roman" w:hAnsi="Times New Roman" w:cs="Times New Roman"/>
          <w:sz w:val="24"/>
          <w:szCs w:val="24"/>
        </w:rPr>
        <w:t xml:space="preserve"> 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596692" w:rsidRPr="00C4542A" w:rsidRDefault="00596692" w:rsidP="00B77E08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олога;</w:t>
      </w:r>
    </w:p>
    <w:p w:rsidR="00596692" w:rsidRPr="00C4542A" w:rsidRDefault="00596692" w:rsidP="00B77E08">
      <w:pPr>
        <w:pStyle w:val="ab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пациентов;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596692" w:rsidRPr="00C4542A" w:rsidRDefault="00596692" w:rsidP="00B77E08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596692" w:rsidRPr="00C4542A" w:rsidRDefault="00596692" w:rsidP="00B77E08">
      <w:pPr>
        <w:pStyle w:val="ab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Проводятся: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аттестации «Врача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олога».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1.4.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Пользователи документа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Министерство здравоохранения</w:t>
      </w:r>
      <w:r w:rsidR="005F6B79">
        <w:rPr>
          <w:rFonts w:ascii="Times New Roman" w:hAnsi="Times New Roman" w:cs="Times New Roman"/>
          <w:sz w:val="24"/>
          <w:szCs w:val="24"/>
        </w:rPr>
        <w:t xml:space="preserve"> КР</w:t>
      </w:r>
      <w:r w:rsidRPr="00C4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Образовательные организации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Организации здравоохранения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Профессиональные ассоциации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 xml:space="preserve">Практикующие врачи </w:t>
      </w:r>
    </w:p>
    <w:p w:rsidR="00596692" w:rsidRPr="00C4542A" w:rsidRDefault="005F6B79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596692" w:rsidRPr="00C4542A">
        <w:rPr>
          <w:rFonts w:ascii="Times New Roman" w:hAnsi="Times New Roman" w:cs="Times New Roman"/>
          <w:sz w:val="24"/>
          <w:szCs w:val="24"/>
        </w:rPr>
        <w:t>рдинаторы</w:t>
      </w:r>
    </w:p>
    <w:p w:rsidR="00596692" w:rsidRPr="00C4542A" w:rsidRDefault="00596692" w:rsidP="00B77E08">
      <w:pPr>
        <w:pStyle w:val="ab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  <w:t>Другие заинтересованные стороны</w:t>
      </w:r>
    </w:p>
    <w:p w:rsidR="00596692" w:rsidRPr="00C4542A" w:rsidRDefault="00596692" w:rsidP="0059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2. ОБЩИЕ ЗАДАЧИ</w:t>
      </w:r>
    </w:p>
    <w:p w:rsidR="00596692" w:rsidRPr="00C4542A" w:rsidRDefault="00596692" w:rsidP="005966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42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>перечислены общие компетенции, которыми должен владеть врач -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олог.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</w:t>
      </w:r>
      <w:r w:rsidRPr="00C4542A">
        <w:rPr>
          <w:rFonts w:ascii="Times New Roman" w:eastAsia="Times New Roman" w:hAnsi="Times New Roman" w:cs="Times New Roman"/>
          <w:sz w:val="24"/>
          <w:szCs w:val="24"/>
          <w:lang w:val="en-US"/>
        </w:rPr>
        <w:t>CanMEDS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). Согласно этому подходу, врач -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</w:t>
      </w:r>
      <w:r w:rsidRPr="00C4542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596692" w:rsidRPr="00C4542A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39478" cy="1966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52461" cy="19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692" w:rsidRPr="00C4542A" w:rsidRDefault="005F6B79" w:rsidP="00596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Врач </w:t>
      </w:r>
      <w:r w:rsidR="00596692">
        <w:rPr>
          <w:rFonts w:ascii="Times New Roman" w:hAnsi="Times New Roman" w:cs="Times New Roman"/>
          <w:b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олог как медицинский специалист/эксперт</w:t>
      </w:r>
    </w:p>
    <w:p w:rsidR="00596692" w:rsidRPr="00C4542A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6B79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4542A">
        <w:rPr>
          <w:rFonts w:ascii="Times New Roman" w:hAnsi="Times New Roman" w:cs="Times New Roman"/>
          <w:sz w:val="24"/>
          <w:szCs w:val="24"/>
        </w:rPr>
        <w:t>–это врач, прошедший специальную подготовку для оказания медицинской помощи взрослому населению.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Как специалист, он оказывает помощь пациентам в пределах своей профессиональной компетенции, соблюдая принципы доказательной медицины.</w:t>
      </w:r>
    </w:p>
    <w:p w:rsidR="00596692" w:rsidRPr="00C4542A" w:rsidRDefault="005F6B79" w:rsidP="00596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специалист, врач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b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олог способен: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-проводить сбор анамнеза;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-проводить осмотр (клиническое обследование) пациента;</w:t>
      </w:r>
    </w:p>
    <w:p w:rsidR="00596692" w:rsidRPr="00C4542A" w:rsidRDefault="00596692" w:rsidP="00596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-интерпретировать информацию, полученную при сборе анамнеза и клинического обследования, устанавливать предварительный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диагноз и дифференциальный диагноз, а также разрабатывать план ведения пациента с использованием результатов объективного обследования;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-выполнять обычные тесты и дополнительные процедуры, принятые в этой специальности;</w:t>
      </w:r>
    </w:p>
    <w:p w:rsidR="00596692" w:rsidRPr="00C4542A" w:rsidRDefault="00596692" w:rsidP="00596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-назначать соответствующие диагностические и лечебные мероприятия, объяснения пациенту их суть и интерпретировать результаты;   </w:t>
      </w:r>
    </w:p>
    <w:p w:rsidR="00596692" w:rsidRPr="00C4542A" w:rsidRDefault="00596692" w:rsidP="00596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-надлежащим образом и длительно заботиться о пациентах с хроническими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ологическими заболеваниями, неизлечимыми, прогрессирующими болезнями;</w:t>
      </w:r>
    </w:p>
    <w:p w:rsidR="00596692" w:rsidRPr="00C4542A" w:rsidRDefault="00596692" w:rsidP="00596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-консультировать пациентов и членов их семей по вопросам формирования здорового образа жизни и профилактики заболеваний;</w:t>
      </w:r>
    </w:p>
    <w:p w:rsidR="00596692" w:rsidRPr="00C4542A" w:rsidRDefault="00596692" w:rsidP="00596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-выполнять все диагностические и терапевтические мероприятия,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596692" w:rsidRPr="00C4542A" w:rsidRDefault="00596692" w:rsidP="00596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-хранить и защищать медицинскую информацию надлежащим образом;</w:t>
      </w:r>
    </w:p>
    <w:p w:rsidR="00596692" w:rsidRDefault="00596692" w:rsidP="0059669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-поддерживать и расширять свою профессиональную компетенцию.</w:t>
      </w:r>
    </w:p>
    <w:p w:rsidR="00596692" w:rsidRPr="00BC384F" w:rsidRDefault="00596692" w:rsidP="0059669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4F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596692" w:rsidRDefault="00596692" w:rsidP="0059669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4F">
        <w:rPr>
          <w:rFonts w:ascii="Times New Roman" w:hAnsi="Times New Roman" w:cs="Times New Roman"/>
          <w:sz w:val="24"/>
          <w:szCs w:val="24"/>
        </w:rPr>
        <w:t xml:space="preserve">уметь проводить пре-тестовое  и после-тестовое консультирование по планируемым методам лечения, включая информированное согласие пациента. </w:t>
      </w:r>
    </w:p>
    <w:p w:rsidR="00907747" w:rsidRDefault="00907747" w:rsidP="0059669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907747" w:rsidRDefault="005F6B79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олог»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596692" w:rsidRPr="00AD3BEE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907747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«В</w:t>
      </w:r>
      <w:r w:rsidR="005F6B79">
        <w:rPr>
          <w:rFonts w:ascii="Times New Roman" w:hAnsi="Times New Roman" w:cs="Times New Roman"/>
          <w:sz w:val="24"/>
          <w:szCs w:val="24"/>
        </w:rPr>
        <w:t xml:space="preserve">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 способен:</w:t>
      </w:r>
    </w:p>
    <w:p w:rsidR="00596692" w:rsidRPr="00BC384F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-построить доверительные отношения с пациентами, </w:t>
      </w:r>
      <w:r w:rsidRPr="00BC384F">
        <w:rPr>
          <w:rFonts w:ascii="Times New Roman" w:hAnsi="Times New Roman" w:cs="Times New Roman"/>
          <w:sz w:val="24"/>
          <w:szCs w:val="24"/>
        </w:rPr>
        <w:t>их семьями и другими близкими родственниками;</w:t>
      </w:r>
    </w:p>
    <w:p w:rsidR="00596692" w:rsidRPr="00C4542A" w:rsidRDefault="00596692" w:rsidP="00907747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84F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-принять решение относительно недееспособных и несовершеннолетних пациентов по поводу  диагностических  и </w:t>
      </w:r>
      <w:r>
        <w:rPr>
          <w:rFonts w:ascii="Times New Roman" w:hAnsi="Times New Roman" w:cs="Times New Roman"/>
          <w:sz w:val="24"/>
          <w:szCs w:val="24"/>
        </w:rPr>
        <w:t>эндокринологических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процедур, обсудив эти процедуры с соответствующими представителями данных групп пациентов;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-документировать полученную информацию во время консультаций / визитов на дому и передать ее в необходимый срок;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-сопереживать, сообщая плохие новости и ответственно сообщать об осложнениях и ошибках.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2.3.Навыки работы в сотрудничестве (в команде)</w:t>
      </w:r>
    </w:p>
    <w:p w:rsidR="00596692" w:rsidRPr="00C4542A" w:rsidRDefault="005F6B79" w:rsidP="0059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«Врач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олог» 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596692" w:rsidRPr="00AD3BEE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F6B79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олог» способен: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хроническими неинфекционными заболеваниями;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-признавать различия интересов, принимать другие мнения, а также избегать конфликтов и решать их в рамках сотрудничества.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2.4. Управленческие навыки (менеджер)</w:t>
      </w:r>
    </w:p>
    <w:p w:rsidR="00596692" w:rsidRPr="00C4542A" w:rsidRDefault="005F6B79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«Врач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олог»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596692" w:rsidRPr="00AD3BEE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F6B79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менеджер, врач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 способен: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-найти баланс между своей профессиональной и частной деятельностью;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-оценивать и использовать соответствующую информацию для ухода за пациентом;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-обеспечивать и улучшать качество медицинской помощи и безопасности пациентов.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2.5. Навыки в области укрепления здоровья и пропаганды здорового образа жизни.</w:t>
      </w:r>
    </w:p>
    <w:p w:rsidR="00596692" w:rsidRPr="00C4542A" w:rsidRDefault="005F6B79" w:rsidP="0059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92" w:rsidRPr="00C4542A">
        <w:rPr>
          <w:rFonts w:ascii="Times New Roman" w:hAnsi="Times New Roman" w:cs="Times New Roman"/>
          <w:sz w:val="24"/>
          <w:szCs w:val="24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596692" w:rsidRPr="00AD3BEE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F6B79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олог»способен: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-описать факторы, влияющие на здоровье человека и общества и способствовать сохранению и укреплению здоровья;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-распознать проблемы, оказывающие влияние на здоровье пациента и предпринять необходимые меры.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Во время своей профессиональной деятельности, врач-</w:t>
      </w:r>
      <w:r>
        <w:rPr>
          <w:rFonts w:ascii="Times New Roman" w:hAnsi="Times New Roman" w:cs="Times New Roman"/>
          <w:sz w:val="24"/>
          <w:szCs w:val="24"/>
        </w:rPr>
        <w:t xml:space="preserve">эндокринолог </w:t>
      </w:r>
      <w:r w:rsidRPr="00C4542A">
        <w:rPr>
          <w:rFonts w:ascii="Times New Roman" w:hAnsi="Times New Roman" w:cs="Times New Roman"/>
          <w:sz w:val="24"/>
          <w:szCs w:val="24"/>
        </w:rPr>
        <w:t>стремится овладеть значительными знаниями по своей специальности, следит за их развитием и пропагандирует их.</w:t>
      </w:r>
    </w:p>
    <w:p w:rsidR="00596692" w:rsidRPr="00AD3BEE" w:rsidRDefault="00596692" w:rsidP="0059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EE">
        <w:rPr>
          <w:rFonts w:ascii="Times New Roman" w:hAnsi="Times New Roman" w:cs="Times New Roman"/>
          <w:sz w:val="24"/>
          <w:szCs w:val="24"/>
        </w:rPr>
        <w:t>Как ученый-исследователь,</w:t>
      </w:r>
      <w:r w:rsidR="005F6B79"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способен: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-постоянно повышать квалификацию, направленную на его профессиональную деятельность;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-информировать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596692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-способствовать развитию, распространению и внедрению новых знаний и методов.</w:t>
      </w: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Врач-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596692" w:rsidRPr="00AD3BEE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BEE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Как профессионал, врач-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 способен: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-осуществлять свою профессиональную деятельность в соответствии с высокими стандартами качества, демонстрируя ответственное и бережное отношение; к пациентам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-практиковать этично и ответственно, соблюдая юридические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аспекты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sz w:val="24"/>
          <w:szCs w:val="24"/>
        </w:rPr>
        <w:t>деятельности медицинских работников.</w:t>
      </w:r>
    </w:p>
    <w:p w:rsidR="00596692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596692" w:rsidRPr="00C4542A" w:rsidRDefault="005F6B79" w:rsidP="0059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«врача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907747">
        <w:rPr>
          <w:rFonts w:ascii="Times New Roman" w:hAnsi="Times New Roman" w:cs="Times New Roman"/>
          <w:sz w:val="24"/>
          <w:szCs w:val="24"/>
        </w:rPr>
        <w:t>олога».</w:t>
      </w:r>
    </w:p>
    <w:p w:rsidR="00596692" w:rsidRPr="00C4542A" w:rsidRDefault="005F6B79" w:rsidP="0059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«Врач 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олог» обязан освоить следующие виды деятельности и соответствующие им персональные задачи по оказанию </w:t>
      </w:r>
      <w:r w:rsidR="00037377">
        <w:rPr>
          <w:rFonts w:ascii="Times New Roman" w:hAnsi="Times New Roman" w:cs="Times New Roman"/>
          <w:sz w:val="24"/>
          <w:szCs w:val="24"/>
        </w:rPr>
        <w:t xml:space="preserve"> эндокринологической </w:t>
      </w:r>
      <w:r w:rsidR="00596692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596692" w:rsidRPr="00C4542A">
        <w:rPr>
          <w:rFonts w:ascii="Times New Roman" w:hAnsi="Times New Roman" w:cs="Times New Roman"/>
          <w:sz w:val="24"/>
          <w:szCs w:val="24"/>
        </w:rPr>
        <w:t>населению, в соответствии с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правовыми документами КР: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 xml:space="preserve">диагностика, лечение, профилактика и реабилитация заболеваний </w:t>
      </w:r>
      <w:r>
        <w:rPr>
          <w:rFonts w:ascii="Times New Roman" w:hAnsi="Times New Roman" w:cs="Times New Roman"/>
          <w:sz w:val="24"/>
          <w:szCs w:val="24"/>
        </w:rPr>
        <w:t>эндокринной системы</w:t>
      </w:r>
      <w:r w:rsidRPr="00C4542A">
        <w:rPr>
          <w:rFonts w:ascii="Times New Roman" w:hAnsi="Times New Roman" w:cs="Times New Roman"/>
          <w:sz w:val="24"/>
          <w:szCs w:val="24"/>
        </w:rPr>
        <w:t>;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оказание экстренной и неотложной врачебной медицинской помощи;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sz w:val="24"/>
          <w:szCs w:val="24"/>
        </w:rPr>
        <w:tab/>
        <w:t>выполнение медицинских манипуляций;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•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</w:r>
      <w:r w:rsidRPr="00C4542A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596692" w:rsidRPr="00C4542A" w:rsidRDefault="00596692" w:rsidP="00B77E08">
      <w:pPr>
        <w:pStyle w:val="ab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манипуляции;</w:t>
      </w:r>
    </w:p>
    <w:p w:rsidR="00596692" w:rsidRDefault="00596692" w:rsidP="00B77E08">
      <w:pPr>
        <w:pStyle w:val="ab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CA18E7" w:rsidRDefault="00CA18E7" w:rsidP="00CA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E7" w:rsidRPr="00037377" w:rsidRDefault="00CA18E7" w:rsidP="00CA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377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ординатуры, </w:t>
      </w:r>
      <w:r w:rsidR="00037377" w:rsidRPr="00037377">
        <w:rPr>
          <w:rFonts w:ascii="Times New Roman" w:hAnsi="Times New Roman" w:cs="Times New Roman"/>
          <w:b/>
          <w:sz w:val="24"/>
          <w:szCs w:val="24"/>
        </w:rPr>
        <w:t xml:space="preserve">по специальности врач-эндокринолог </w:t>
      </w:r>
      <w:r w:rsidRPr="00037377">
        <w:rPr>
          <w:rFonts w:ascii="Times New Roman" w:hAnsi="Times New Roman" w:cs="Times New Roman"/>
          <w:b/>
          <w:sz w:val="24"/>
          <w:szCs w:val="24"/>
        </w:rPr>
        <w:t>д</w:t>
      </w:r>
      <w:r w:rsidR="00037377" w:rsidRPr="00037377">
        <w:rPr>
          <w:rFonts w:ascii="Times New Roman" w:hAnsi="Times New Roman" w:cs="Times New Roman"/>
          <w:b/>
          <w:sz w:val="24"/>
          <w:szCs w:val="24"/>
        </w:rPr>
        <w:t>олжен обладать следующими компе</w:t>
      </w:r>
      <w:r w:rsidRPr="00037377">
        <w:rPr>
          <w:rFonts w:ascii="Times New Roman" w:hAnsi="Times New Roman" w:cs="Times New Roman"/>
          <w:b/>
          <w:sz w:val="24"/>
          <w:szCs w:val="24"/>
        </w:rPr>
        <w:t>тенциями:</w:t>
      </w:r>
    </w:p>
    <w:p w:rsidR="008D71F4" w:rsidRDefault="008D71F4" w:rsidP="00CA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E7" w:rsidRPr="00CA18E7" w:rsidRDefault="00CA18E7" w:rsidP="00CA1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E7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</w:p>
    <w:p w:rsidR="00CA18E7" w:rsidRPr="00CA18E7" w:rsidRDefault="00CA18E7" w:rsidP="00CA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8E7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040FDD">
        <w:rPr>
          <w:rFonts w:ascii="Times New Roman" w:hAnsi="Times New Roman" w:cs="Times New Roman"/>
          <w:sz w:val="24"/>
          <w:szCs w:val="24"/>
        </w:rPr>
        <w:t>(УК-1 )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CA18E7" w:rsidRPr="00CA18E7" w:rsidRDefault="00CA18E7" w:rsidP="00CA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18E7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 w:rsidR="00040FDD">
        <w:t>(</w:t>
      </w:r>
      <w:r w:rsidR="00040FDD" w:rsidRPr="00040FDD">
        <w:rPr>
          <w:rFonts w:ascii="Times New Roman" w:hAnsi="Times New Roman" w:cs="Times New Roman"/>
          <w:sz w:val="24"/>
          <w:szCs w:val="24"/>
        </w:rPr>
        <w:t>УК-2</w:t>
      </w:r>
      <w:r w:rsidR="00040FDD">
        <w:rPr>
          <w:rFonts w:ascii="Times New Roman" w:hAnsi="Times New Roman" w:cs="Times New Roman"/>
          <w:sz w:val="24"/>
          <w:szCs w:val="24"/>
        </w:rPr>
        <w:t>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CA18E7" w:rsidRPr="00CA18E7" w:rsidRDefault="00CA18E7" w:rsidP="00CA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8E7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</w:t>
      </w:r>
      <w:r w:rsidRPr="00CA18E7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040FDD">
        <w:rPr>
          <w:rFonts w:ascii="Times New Roman" w:hAnsi="Times New Roman" w:cs="Times New Roman"/>
          <w:sz w:val="24"/>
          <w:szCs w:val="24"/>
        </w:rPr>
        <w:t>(</w:t>
      </w:r>
      <w:r w:rsidR="00040FDD" w:rsidRPr="00040FDD">
        <w:rPr>
          <w:rFonts w:ascii="Times New Roman" w:hAnsi="Times New Roman" w:cs="Times New Roman"/>
          <w:sz w:val="24"/>
          <w:szCs w:val="24"/>
        </w:rPr>
        <w:t>УК-3</w:t>
      </w:r>
      <w:r w:rsidR="00040FDD">
        <w:rPr>
          <w:rFonts w:ascii="Times New Roman" w:hAnsi="Times New Roman" w:cs="Times New Roman"/>
          <w:sz w:val="24"/>
          <w:szCs w:val="24"/>
        </w:rPr>
        <w:t>)</w:t>
      </w:r>
      <w:r w:rsidRPr="00CA18E7">
        <w:rPr>
          <w:rFonts w:ascii="Times New Roman" w:hAnsi="Times New Roman" w:cs="Times New Roman"/>
          <w:sz w:val="24"/>
          <w:szCs w:val="24"/>
        </w:rPr>
        <w:t>.</w:t>
      </w:r>
    </w:p>
    <w:p w:rsidR="00596692" w:rsidRPr="00C4542A" w:rsidRDefault="00596692" w:rsidP="0059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Профессиональные  компетенции</w:t>
      </w:r>
      <w:r w:rsidR="00ED322F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«Врача </w:t>
      </w:r>
      <w:r>
        <w:rPr>
          <w:rFonts w:ascii="Times New Roman" w:hAnsi="Times New Roman" w:cs="Times New Roman"/>
          <w:b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b/>
          <w:sz w:val="24"/>
          <w:szCs w:val="24"/>
        </w:rPr>
        <w:t>олога» характеризуются:</w:t>
      </w:r>
    </w:p>
    <w:p w:rsidR="00C31604" w:rsidRPr="008D71F4" w:rsidRDefault="008D71F4" w:rsidP="00C316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1F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C31604" w:rsidRPr="008D71F4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профилактической  деятельности</w:t>
      </w:r>
      <w:r w:rsidR="00765D10" w:rsidRPr="008D71F4">
        <w:rPr>
          <w:rFonts w:ascii="Times New Roman" w:hAnsi="Times New Roman" w:cs="Times New Roman"/>
          <w:b/>
          <w:sz w:val="24"/>
          <w:szCs w:val="24"/>
          <w:u w:val="single"/>
        </w:rPr>
        <w:t>(ПК-1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,2,3,4</w:t>
      </w:r>
      <w:r w:rsidR="00765D10" w:rsidRPr="008D71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31604" w:rsidRPr="008D71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3FE9" w:rsidRPr="008D71F4" w:rsidRDefault="00CA18E7" w:rsidP="008D71F4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обитания(ПК-1).</w:t>
      </w:r>
    </w:p>
    <w:p w:rsidR="00E93FE9" w:rsidRDefault="00E93FE9" w:rsidP="008D71F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E9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больными( 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FE9" w:rsidRDefault="00E93FE9" w:rsidP="008D71F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E9">
        <w:rPr>
          <w:rFonts w:ascii="Times New Roman" w:hAnsi="Times New Roman" w:cs="Times New Roman"/>
          <w:sz w:val="24"/>
          <w:szCs w:val="24"/>
        </w:rPr>
        <w:t>Готовность к проведению противоэп</w:t>
      </w:r>
      <w:r w:rsidR="005F6B79">
        <w:rPr>
          <w:rFonts w:ascii="Times New Roman" w:hAnsi="Times New Roman" w:cs="Times New Roman"/>
          <w:sz w:val="24"/>
          <w:szCs w:val="24"/>
        </w:rPr>
        <w:t>идемических мероприятий, органи</w:t>
      </w:r>
      <w:r w:rsidRPr="00E93FE9">
        <w:rPr>
          <w:rFonts w:ascii="Times New Roman" w:hAnsi="Times New Roman" w:cs="Times New Roman"/>
          <w:sz w:val="24"/>
          <w:szCs w:val="24"/>
        </w:rPr>
        <w:t>зации защиты населения в очагах о</w:t>
      </w:r>
      <w:r w:rsidR="005F6B79">
        <w:rPr>
          <w:rFonts w:ascii="Times New Roman" w:hAnsi="Times New Roman" w:cs="Times New Roman"/>
          <w:sz w:val="24"/>
          <w:szCs w:val="24"/>
        </w:rPr>
        <w:t>собо опасных инфекций, при ухуд</w:t>
      </w:r>
      <w:r w:rsidRPr="00E93FE9">
        <w:rPr>
          <w:rFonts w:ascii="Times New Roman" w:hAnsi="Times New Roman" w:cs="Times New Roman"/>
          <w:sz w:val="24"/>
          <w:szCs w:val="24"/>
        </w:rPr>
        <w:t>шении радиационной обстановки, ст</w:t>
      </w:r>
      <w:r w:rsidR="005F6B79">
        <w:rPr>
          <w:rFonts w:ascii="Times New Roman" w:hAnsi="Times New Roman" w:cs="Times New Roman"/>
          <w:sz w:val="24"/>
          <w:szCs w:val="24"/>
        </w:rPr>
        <w:t>ихийных бедствиях и иных чрезвы</w:t>
      </w:r>
      <w:r w:rsidRPr="00E93FE9">
        <w:rPr>
          <w:rFonts w:ascii="Times New Roman" w:hAnsi="Times New Roman" w:cs="Times New Roman"/>
          <w:sz w:val="24"/>
          <w:szCs w:val="24"/>
        </w:rPr>
        <w:t>чайных ситуациях (ПК-3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3FE9" w:rsidRPr="00E93FE9" w:rsidRDefault="00E93FE9" w:rsidP="008D71F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E9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</w:t>
      </w:r>
      <w:r>
        <w:rPr>
          <w:rFonts w:ascii="Times New Roman" w:hAnsi="Times New Roman" w:cs="Times New Roman"/>
          <w:sz w:val="24"/>
          <w:szCs w:val="24"/>
        </w:rPr>
        <w:t xml:space="preserve"> здоровья взрослых и подростков(ПК-4).</w:t>
      </w:r>
    </w:p>
    <w:p w:rsidR="00C31604" w:rsidRPr="008D71F4" w:rsidRDefault="008D71F4" w:rsidP="00C3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1F4">
        <w:rPr>
          <w:rFonts w:ascii="Times New Roman" w:hAnsi="Times New Roman" w:cs="Times New Roman"/>
          <w:b/>
          <w:sz w:val="24"/>
          <w:szCs w:val="24"/>
        </w:rPr>
        <w:t>В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 xml:space="preserve"> диагностической деятельности</w:t>
      </w:r>
      <w:r w:rsidR="00765D10" w:rsidRPr="008D71F4">
        <w:rPr>
          <w:rFonts w:ascii="Times New Roman" w:hAnsi="Times New Roman" w:cs="Times New Roman"/>
          <w:b/>
          <w:sz w:val="24"/>
          <w:szCs w:val="24"/>
        </w:rPr>
        <w:t xml:space="preserve"> (ПК-5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>):</w:t>
      </w:r>
    </w:p>
    <w:p w:rsidR="00765D10" w:rsidRPr="00765D10" w:rsidRDefault="00765D10" w:rsidP="008D71F4">
      <w:pPr>
        <w:pStyle w:val="ab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0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</w:t>
      </w:r>
    </w:p>
    <w:p w:rsidR="00E93FE9" w:rsidRPr="00581BB2" w:rsidRDefault="00765D10" w:rsidP="008D71F4">
      <w:pPr>
        <w:pStyle w:val="ab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BB2">
        <w:rPr>
          <w:rFonts w:ascii="Times New Roman" w:hAnsi="Times New Roman" w:cs="Times New Roman"/>
          <w:sz w:val="24"/>
          <w:szCs w:val="24"/>
        </w:rPr>
        <w:t>синдромов заболеваний, нозологических форм в соответствии с Международной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581BB2">
        <w:rPr>
          <w:rFonts w:ascii="Times New Roman" w:hAnsi="Times New Roman" w:cs="Times New Roman"/>
          <w:sz w:val="24"/>
          <w:szCs w:val="24"/>
        </w:rPr>
        <w:t>статистической классификацией болезней и проблем, связанных со здоровьем.</w:t>
      </w:r>
    </w:p>
    <w:p w:rsidR="00C31604" w:rsidRPr="008D71F4" w:rsidRDefault="00765D10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</w:t>
      </w:r>
      <w:r w:rsidR="00C31604" w:rsidRPr="008D71F4">
        <w:rPr>
          <w:rFonts w:ascii="Times New Roman" w:hAnsi="Times New Roman" w:cs="Times New Roman"/>
          <w:sz w:val="24"/>
          <w:szCs w:val="24"/>
        </w:rPr>
        <w:t>отовность к постановке  диагноза  на основании  диагностического  исследования  в области  эндокринологии.</w:t>
      </w:r>
    </w:p>
    <w:p w:rsidR="00C31604" w:rsidRPr="008D71F4" w:rsidRDefault="00765D10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</w:t>
      </w:r>
      <w:r w:rsidR="00C31604" w:rsidRPr="008D71F4">
        <w:rPr>
          <w:rFonts w:ascii="Times New Roman" w:hAnsi="Times New Roman" w:cs="Times New Roman"/>
          <w:sz w:val="24"/>
          <w:szCs w:val="24"/>
        </w:rPr>
        <w:t>отовность к дифференциальной диагностике заболеваний на основании диагностических исследований в области эндокринологии</w:t>
      </w:r>
      <w:r w:rsidRPr="008D71F4">
        <w:rPr>
          <w:rFonts w:ascii="Times New Roman" w:hAnsi="Times New Roman" w:cs="Times New Roman"/>
          <w:sz w:val="24"/>
          <w:szCs w:val="24"/>
        </w:rPr>
        <w:t>.</w:t>
      </w:r>
    </w:p>
    <w:p w:rsidR="00C31604" w:rsidRDefault="00765D10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</w:t>
      </w:r>
      <w:r w:rsidR="00C31604" w:rsidRPr="008D71F4">
        <w:rPr>
          <w:rFonts w:ascii="Times New Roman" w:hAnsi="Times New Roman" w:cs="Times New Roman"/>
          <w:sz w:val="24"/>
          <w:szCs w:val="24"/>
        </w:rPr>
        <w:t>отовность анализировать  закономерности   функционирования  отдельных  органов и систем, использовать знания  анатомо-физиологических основ, основные  методики  клинико-иммунологического  обследования и оценки  функционального состояния  организма  пациентов для  своевременной  диагностики  группы  заболеваний</w:t>
      </w:r>
      <w:r w:rsidRPr="008D71F4">
        <w:rPr>
          <w:rFonts w:ascii="Times New Roman" w:hAnsi="Times New Roman" w:cs="Times New Roman"/>
          <w:sz w:val="24"/>
          <w:szCs w:val="24"/>
        </w:rPr>
        <w:t xml:space="preserve"> эндокринной системы.</w:t>
      </w:r>
    </w:p>
    <w:p w:rsidR="008D71F4" w:rsidRPr="008D71F4" w:rsidRDefault="008D71F4" w:rsidP="008D71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8D71F4" w:rsidRDefault="008D71F4" w:rsidP="008D71F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лечебной деятельности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 xml:space="preserve"> (ПК-6</w:t>
      </w:r>
      <w:r w:rsidR="00C12BF4" w:rsidRPr="008D71F4">
        <w:rPr>
          <w:rFonts w:ascii="Times New Roman" w:hAnsi="Times New Roman" w:cs="Times New Roman"/>
          <w:b/>
          <w:sz w:val="24"/>
          <w:szCs w:val="24"/>
        </w:rPr>
        <w:t>, ПК-7</w:t>
      </w:r>
      <w:r w:rsidR="00C31604" w:rsidRPr="008D71F4">
        <w:rPr>
          <w:rFonts w:ascii="Times New Roman" w:hAnsi="Times New Roman" w:cs="Times New Roman"/>
          <w:b/>
          <w:sz w:val="24"/>
          <w:szCs w:val="24"/>
        </w:rPr>
        <w:t>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596692" w:rsidRPr="008D71F4" w:rsidRDefault="00765D10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596692" w:rsidRPr="008D71F4">
        <w:rPr>
          <w:rFonts w:ascii="Times New Roman" w:hAnsi="Times New Roman" w:cs="Times New Roman"/>
          <w:sz w:val="24"/>
          <w:szCs w:val="24"/>
        </w:rPr>
        <w:t xml:space="preserve"> выполнять основные  лечебные мероприятия у пациентов при эндокринологических заболеваниях той или иных группы нозологических форм, способных вызвать тяжелые осложнения и (или) летальный исход</w:t>
      </w:r>
      <w:r w:rsidR="00C31604" w:rsidRPr="008D71F4">
        <w:rPr>
          <w:rFonts w:ascii="Times New Roman" w:hAnsi="Times New Roman" w:cs="Times New Roman"/>
          <w:sz w:val="24"/>
          <w:szCs w:val="24"/>
        </w:rPr>
        <w:t xml:space="preserve"> (ПК-6)</w:t>
      </w:r>
      <w:r w:rsidR="00596692" w:rsidRPr="008D71F4">
        <w:rPr>
          <w:rFonts w:ascii="Times New Roman" w:hAnsi="Times New Roman" w:cs="Times New Roman"/>
          <w:sz w:val="24"/>
          <w:szCs w:val="24"/>
        </w:rPr>
        <w:t>;</w:t>
      </w:r>
    </w:p>
    <w:p w:rsidR="00596692" w:rsidRPr="008D71F4" w:rsidRDefault="00596692" w:rsidP="008D71F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Своевременно выявлять жизнеопасные нарушения внутренних органов, использовать методики их немедленного устранения, осуществлять противошоковые мероприятия;</w:t>
      </w:r>
    </w:p>
    <w:p w:rsidR="00C12BF4" w:rsidRPr="008D71F4" w:rsidRDefault="00C12BF4" w:rsidP="008D71F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596692" w:rsidRPr="008D71F4">
        <w:rPr>
          <w:rFonts w:ascii="Times New Roman" w:hAnsi="Times New Roman" w:cs="Times New Roman"/>
          <w:sz w:val="24"/>
          <w:szCs w:val="24"/>
        </w:rPr>
        <w:t>назначать эндокринологическим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C12BF4" w:rsidRDefault="00C12BF4" w:rsidP="008D71F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2BF4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12BF4">
        <w:rPr>
          <w:rFonts w:ascii="Times New Roman" w:hAnsi="Times New Roman" w:cs="Times New Roman"/>
          <w:sz w:val="24"/>
          <w:szCs w:val="24"/>
        </w:rPr>
        <w:t>участию в медицинской эвакуации (ПК-7).</w:t>
      </w:r>
    </w:p>
    <w:p w:rsidR="008D71F4" w:rsidRPr="00C12BF4" w:rsidRDefault="008D71F4" w:rsidP="008D71F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96692" w:rsidRPr="008D71F4" w:rsidRDefault="008D71F4" w:rsidP="008D71F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D71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реабилитационной  деятельности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 xml:space="preserve"> (ПК- 8)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C12BF4" w:rsidRPr="00037377" w:rsidRDefault="00C12BF4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377">
        <w:rPr>
          <w:rFonts w:ascii="Times New Roman" w:hAnsi="Times New Roman" w:cs="Times New Roman"/>
          <w:sz w:val="24"/>
          <w:szCs w:val="24"/>
        </w:rPr>
        <w:lastRenderedPageBreak/>
        <w:t>Готовность к применению природных лечебных факторов, лекарственной,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037377">
        <w:rPr>
          <w:rFonts w:ascii="Times New Roman" w:hAnsi="Times New Roman" w:cs="Times New Roman"/>
          <w:sz w:val="24"/>
          <w:szCs w:val="24"/>
        </w:rPr>
        <w:t>немедикаментозной терапии и других методов у пациентов, нуждающихся в медицинской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037377">
        <w:rPr>
          <w:rFonts w:ascii="Times New Roman" w:hAnsi="Times New Roman" w:cs="Times New Roman"/>
          <w:sz w:val="24"/>
          <w:szCs w:val="24"/>
        </w:rPr>
        <w:t>реабилитации и санаторно-курортном лечении (ПК-8).</w:t>
      </w:r>
    </w:p>
    <w:p w:rsidR="00596692" w:rsidRPr="008D71F4" w:rsidRDefault="00C12BF4" w:rsidP="008D71F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</w:t>
      </w:r>
      <w:r w:rsidR="00596692" w:rsidRPr="008D71F4">
        <w:rPr>
          <w:rFonts w:ascii="Times New Roman" w:hAnsi="Times New Roman" w:cs="Times New Roman"/>
          <w:sz w:val="24"/>
          <w:szCs w:val="24"/>
        </w:rPr>
        <w:t>отовность  применять различные реабилитационные мероприятия (медицинские, социальные, психологические) при наиболее распространенных патологических   состояниях  и повреждениях  организма;</w:t>
      </w:r>
    </w:p>
    <w:p w:rsidR="00596692" w:rsidRDefault="00C12BF4" w:rsidP="00CC3B29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1F4">
        <w:rPr>
          <w:rFonts w:ascii="Times New Roman" w:hAnsi="Times New Roman" w:cs="Times New Roman"/>
          <w:sz w:val="24"/>
          <w:szCs w:val="24"/>
        </w:rPr>
        <w:t>Готовность</w:t>
      </w:r>
      <w:r w:rsidR="00596692" w:rsidRPr="008D71F4">
        <w:rPr>
          <w:rFonts w:ascii="Times New Roman" w:hAnsi="Times New Roman" w:cs="Times New Roman"/>
          <w:sz w:val="24"/>
          <w:szCs w:val="24"/>
        </w:rPr>
        <w:t xml:space="preserve">  давать  рекомендации  по выбору  оптимального  режима  в период  реабилитации  эндокринологических больных (двигательной  активности  в  зависимости от  морфофункционального  статуса),  определять  показания  и противопоказания  к назначению    лечебной  физкультуры, физиотерапии, рефлексотерапии.</w:t>
      </w:r>
    </w:p>
    <w:p w:rsidR="008D71F4" w:rsidRPr="008D71F4" w:rsidRDefault="008D71F4" w:rsidP="008D71F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BF4" w:rsidRPr="008D71F4" w:rsidRDefault="008D71F4" w:rsidP="008D71F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0177A" w:rsidRPr="008D71F4">
        <w:rPr>
          <w:rFonts w:ascii="Times New Roman" w:hAnsi="Times New Roman" w:cs="Times New Roman"/>
          <w:b/>
          <w:sz w:val="24"/>
          <w:szCs w:val="24"/>
        </w:rPr>
        <w:t xml:space="preserve"> психол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>ого-</w:t>
      </w:r>
      <w:r w:rsidR="00C12BF4" w:rsidRPr="008D71F4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="00B466E4" w:rsidRPr="008D71F4">
        <w:rPr>
          <w:rFonts w:ascii="Times New Roman" w:hAnsi="Times New Roman" w:cs="Times New Roman"/>
          <w:b/>
          <w:sz w:val="24"/>
          <w:szCs w:val="24"/>
        </w:rPr>
        <w:t xml:space="preserve"> деятельности (ПК-9):</w:t>
      </w:r>
    </w:p>
    <w:p w:rsidR="00C12BF4" w:rsidRPr="00C12BF4" w:rsidRDefault="00C12BF4" w:rsidP="008D71F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BF4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</w:t>
      </w:r>
      <w:r w:rsidR="005F6B79">
        <w:rPr>
          <w:rFonts w:ascii="Times New Roman" w:hAnsi="Times New Roman" w:cs="Times New Roman"/>
          <w:sz w:val="24"/>
          <w:szCs w:val="24"/>
        </w:rPr>
        <w:t xml:space="preserve"> </w:t>
      </w:r>
      <w:r w:rsidRPr="00C12BF4">
        <w:rPr>
          <w:rFonts w:ascii="Times New Roman" w:hAnsi="Times New Roman" w:cs="Times New Roman"/>
          <w:sz w:val="24"/>
          <w:szCs w:val="24"/>
        </w:rPr>
        <w:t>направленной на сохранение и укрепление своего здоровья и здоровья окружающих (ПК-9).</w:t>
      </w:r>
    </w:p>
    <w:p w:rsidR="00C12BF4" w:rsidRPr="00C12BF4" w:rsidRDefault="00C12BF4" w:rsidP="001B1AE9">
      <w:pPr>
        <w:pStyle w:val="ab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692" w:rsidRPr="008D71F4" w:rsidRDefault="008D71F4" w:rsidP="008D71F4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 xml:space="preserve"> организационно-управленческой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(ПК- 10,11,</w:t>
      </w:r>
      <w:r w:rsidR="001B1AE9" w:rsidRPr="008D71F4">
        <w:rPr>
          <w:rFonts w:ascii="Times New Roman" w:hAnsi="Times New Roman" w:cs="Times New Roman"/>
          <w:b/>
          <w:sz w:val="24"/>
          <w:szCs w:val="24"/>
        </w:rPr>
        <w:t>12)</w:t>
      </w:r>
      <w:r w:rsidR="00596692" w:rsidRPr="008D71F4">
        <w:rPr>
          <w:rFonts w:ascii="Times New Roman" w:hAnsi="Times New Roman" w:cs="Times New Roman"/>
          <w:b/>
          <w:sz w:val="24"/>
          <w:szCs w:val="24"/>
        </w:rPr>
        <w:t>:</w:t>
      </w:r>
    </w:p>
    <w:p w:rsidR="00B0177A" w:rsidRDefault="001B1AE9" w:rsidP="008D71F4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t>Готовность</w:t>
      </w:r>
      <w:r w:rsidR="00596692" w:rsidRPr="00C4542A">
        <w:t xml:space="preserve">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</w:t>
      </w:r>
      <w:r w:rsidR="00CC3B29">
        <w:t>эндокринологического</w:t>
      </w:r>
      <w:r w:rsidR="00B0177A">
        <w:t xml:space="preserve"> профиля (</w:t>
      </w:r>
      <w:r w:rsidR="00B0177A">
        <w:rPr>
          <w:sz w:val="23"/>
          <w:szCs w:val="23"/>
        </w:rPr>
        <w:t>ПК-10)</w:t>
      </w:r>
    </w:p>
    <w:p w:rsidR="00B466E4" w:rsidRPr="00B466E4" w:rsidRDefault="001B1AE9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6692" w:rsidRPr="00B466E4">
        <w:rPr>
          <w:rFonts w:ascii="Times New Roman" w:hAnsi="Times New Roman" w:cs="Times New Roman"/>
          <w:sz w:val="24"/>
          <w:szCs w:val="24"/>
        </w:rPr>
        <w:t>отовность  использовать  знания  организационной  структуры  эндокринологического профиля, управленческой  и экономической  деятельности  медицинских  организаций  различных  типов  по оказанию медицинской  помощи,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оказании  медицинских  услуг  пациентам с  заболеваниями  эндокринной системы</w:t>
      </w:r>
      <w:r w:rsidR="00B0177A" w:rsidRPr="00B466E4">
        <w:rPr>
          <w:rFonts w:ascii="Times New Roman" w:hAnsi="Times New Roman" w:cs="Times New Roman"/>
          <w:sz w:val="24"/>
          <w:szCs w:val="24"/>
        </w:rPr>
        <w:t>(ПК-11).</w:t>
      </w:r>
    </w:p>
    <w:p w:rsidR="00596692" w:rsidRPr="00B466E4" w:rsidRDefault="00B466E4" w:rsidP="008D71F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6E4">
        <w:rPr>
          <w:rFonts w:ascii="Times New Roman" w:hAnsi="Times New Roman" w:cs="Times New Roman"/>
          <w:sz w:val="24"/>
          <w:szCs w:val="24"/>
        </w:rPr>
        <w:t>Готовность к организации медицин</w:t>
      </w:r>
      <w:r>
        <w:rPr>
          <w:rFonts w:ascii="Times New Roman" w:hAnsi="Times New Roman" w:cs="Times New Roman"/>
          <w:sz w:val="24"/>
          <w:szCs w:val="24"/>
        </w:rPr>
        <w:t>ской помощи при чрезвычайных си</w:t>
      </w:r>
      <w:r w:rsidRPr="00B466E4">
        <w:rPr>
          <w:rFonts w:ascii="Times New Roman" w:hAnsi="Times New Roman" w:cs="Times New Roman"/>
          <w:sz w:val="24"/>
          <w:szCs w:val="24"/>
        </w:rPr>
        <w:t>туациях,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 xml:space="preserve"> (ПК-12)</w:t>
      </w:r>
      <w:r w:rsidRPr="00B466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3"/>
      </w:tblGrid>
      <w:tr w:rsidR="00B0177A" w:rsidTr="00B466E4">
        <w:trPr>
          <w:trHeight w:val="109"/>
        </w:trPr>
        <w:tc>
          <w:tcPr>
            <w:tcW w:w="8743" w:type="dxa"/>
          </w:tcPr>
          <w:p w:rsidR="00B0177A" w:rsidRDefault="00B0177A" w:rsidP="008D71F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</w:t>
      </w:r>
      <w:r w:rsidR="00040FDD">
        <w:rPr>
          <w:rFonts w:ascii="Times New Roman" w:hAnsi="Times New Roman" w:cs="Times New Roman"/>
          <w:b/>
          <w:sz w:val="24"/>
          <w:szCs w:val="24"/>
        </w:rPr>
        <w:t xml:space="preserve"> в практике врача-эндокринолога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 (Перечень 1)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Уровень 2</w:t>
      </w:r>
      <w:r w:rsidRPr="00C4542A">
        <w:rPr>
          <w:rFonts w:ascii="Times New Roman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</w:t>
      </w:r>
      <w:r w:rsidRPr="00C4542A">
        <w:rPr>
          <w:rFonts w:ascii="Times New Roman" w:hAnsi="Times New Roman" w:cs="Times New Roman"/>
          <w:sz w:val="24"/>
          <w:szCs w:val="24"/>
        </w:rPr>
        <w:lastRenderedPageBreak/>
        <w:t>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596692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Буква «Н</w:t>
      </w:r>
      <w:r w:rsidRPr="00C4542A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596692" w:rsidRPr="00C4542A" w:rsidRDefault="00596692" w:rsidP="0059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3.1</w:t>
      </w:r>
      <w:r w:rsidR="005F6B79">
        <w:rPr>
          <w:rFonts w:ascii="Times New Roman" w:hAnsi="Times New Roman" w:cs="Times New Roman"/>
          <w:b/>
          <w:sz w:val="24"/>
          <w:szCs w:val="24"/>
        </w:rPr>
        <w:t>.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Распространенные симптомы и синдромы (Перечень 1)</w:t>
      </w:r>
    </w:p>
    <w:p w:rsidR="00596692" w:rsidRPr="00C4542A" w:rsidRDefault="00596692" w:rsidP="0059669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Жажда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Сухость во рту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Полиурия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Никтурия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 xml:space="preserve">Недержание, задержка мочи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Дисфагия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аппетита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Выпадение зубов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Снижение зрения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Тошнота, рвота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77C71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аппетита с пристрастием ксоленой пище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77C71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разлитые, неинтенсивныеболи в животе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гипертензия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ипотензия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тахикардия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B6C06" w:rsidRDefault="00596692" w:rsidP="00ED3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брадикардия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Запоры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Снижение  массы тела, истощение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Прибавка в весе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Раздражительность, плаксивость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Зябкость, онемение конечностей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Гиперпигментация кожи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Грубая, сухая кожа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Стрии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Гирсутизм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Липоидный некробиоз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рофические язвы стопы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Эректильная дисфункция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инекомастия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Низкорослость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карликовость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Высокорослость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гигантизм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Остеопороз 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Миопатия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Птоз, диплопия, офтальмоплегия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Постоянные головные боли и</w:t>
            </w:r>
          </w:p>
          <w:p w:rsidR="00596692" w:rsidRPr="005F6E41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hAnsi="Times New Roman" w:cs="Times New Roman"/>
                <w:sz w:val="24"/>
                <w:szCs w:val="24"/>
              </w:rPr>
              <w:t>головокружения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Олигурия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41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5F6E41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Жировой гепатоз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Судорожный 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Полинейропати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офтальмопатия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B6C06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Метаболический синдром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EE7A0A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Гипергликемия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B6C06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Гипогликемия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Диабетическая стопа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Диабетическая макроангиопатии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Диабетическая микроангиопатия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нейропатия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B6C06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неотложной гипергликемии и кетоацидоза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гипогликемии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тиреотоксического</w:t>
            </w:r>
            <w:r w:rsidR="0049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криза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гипотиреоидного криза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 надпочечниковой недостаточности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пустого турецкого седла</w:t>
            </w:r>
          </w:p>
        </w:tc>
      </w:tr>
      <w:tr w:rsidR="00596692" w:rsidRPr="00C4542A" w:rsidTr="00ED322F">
        <w:tc>
          <w:tcPr>
            <w:tcW w:w="9072" w:type="dxa"/>
          </w:tcPr>
          <w:p w:rsidR="00596692" w:rsidRPr="008B6C06" w:rsidRDefault="00596692" w:rsidP="00ED3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апное сна при заболеваниях эндокринной системы</w:t>
            </w:r>
          </w:p>
        </w:tc>
      </w:tr>
    </w:tbl>
    <w:p w:rsidR="00596692" w:rsidRPr="00C4542A" w:rsidRDefault="00596692" w:rsidP="0059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3.2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Распространенные </w:t>
      </w:r>
      <w:r w:rsidR="00784674">
        <w:rPr>
          <w:rFonts w:ascii="Times New Roman" w:hAnsi="Times New Roman" w:cs="Times New Roman"/>
          <w:b/>
          <w:sz w:val="24"/>
          <w:szCs w:val="24"/>
        </w:rPr>
        <w:t xml:space="preserve"> эндокринные </w:t>
      </w:r>
      <w:r w:rsidRPr="00C4542A">
        <w:rPr>
          <w:rFonts w:ascii="Times New Roman" w:hAnsi="Times New Roman" w:cs="Times New Roman"/>
          <w:b/>
          <w:sz w:val="24"/>
          <w:szCs w:val="24"/>
        </w:rPr>
        <w:t>заболевания и состояния (Перечень 2)</w:t>
      </w:r>
    </w:p>
    <w:p w:rsidR="00596692" w:rsidRPr="00C4542A" w:rsidRDefault="00596692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5"/>
        <w:gridCol w:w="1194"/>
        <w:gridCol w:w="1194"/>
      </w:tblGrid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D313DF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DF">
              <w:rPr>
                <w:rFonts w:ascii="Times New Roman" w:hAnsi="Times New Roman" w:cs="Times New Roman"/>
                <w:b/>
                <w:sz w:val="24"/>
                <w:szCs w:val="24"/>
              </w:rPr>
              <w:t>Сахарный диабет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784674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78467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сахарного диабета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Диабетическая ретинопатия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Диабетическая нефропатия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r w:rsidRPr="0058712F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нейропатия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диабетической стопы 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289"/>
        </w:trPr>
        <w:tc>
          <w:tcPr>
            <w:tcW w:w="7015" w:type="dxa"/>
          </w:tcPr>
          <w:p w:rsidR="00596692" w:rsidRPr="008B6C06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Диабетическаякетоацидотическая кома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EF148C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Гипогликемическая кома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Гиперосмолярная кома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Лактоацидотическая кома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 </w:t>
            </w:r>
            <w:r w:rsidRPr="006E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исамоконтроля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СД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EF148C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585721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Заболевания </w:t>
            </w:r>
            <w:r w:rsidRPr="00585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гипотиреоза</w:t>
            </w:r>
          </w:p>
        </w:tc>
        <w:tc>
          <w:tcPr>
            <w:tcW w:w="1194" w:type="dxa"/>
            <w:shd w:val="clear" w:color="auto" w:fill="auto"/>
          </w:tcPr>
          <w:p w:rsidR="00596692" w:rsidRPr="00EF148C" w:rsidRDefault="00784674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тиреотоксикоза 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784674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Йододефицитные заболевания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784674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Тиреодиты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784674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Узловой зоб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E13674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 щитовидной железы 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E13674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офтальмопатия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Pr="00E13674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Тиреотоксический криз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Default="00596692" w:rsidP="00ED322F">
            <w:r w:rsidRPr="00E1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Гипотиреоидная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EF148C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EF148C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585721" w:rsidRDefault="00784674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фосфорно-кальциевого обмена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Гипопаратиреоз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78467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Гиперпаратиреоз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надпочечников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надпочечниковая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надпочечниковая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36661E" w:rsidRPr="0036661E" w:rsidRDefault="00596692" w:rsidP="000373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коры надпочечников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36661E" w:rsidRPr="005234D9" w:rsidRDefault="00596692" w:rsidP="0003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9">
              <w:rPr>
                <w:rFonts w:ascii="Times New Roman" w:hAnsi="Times New Roman" w:cs="Times New Roman"/>
                <w:sz w:val="24"/>
                <w:szCs w:val="24"/>
              </w:rPr>
              <w:t>Синдром Иценко-Кушинга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77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037377" w:rsidRPr="005234D9" w:rsidRDefault="00037377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77">
              <w:rPr>
                <w:rFonts w:ascii="Times New Roman" w:hAnsi="Times New Roman" w:cs="Times New Roman"/>
                <w:sz w:val="24"/>
                <w:szCs w:val="24"/>
              </w:rPr>
              <w:t>Первичный гиперальдостеронизм</w:t>
            </w:r>
          </w:p>
        </w:tc>
        <w:tc>
          <w:tcPr>
            <w:tcW w:w="1194" w:type="dxa"/>
            <w:shd w:val="clear" w:color="auto" w:fill="auto"/>
          </w:tcPr>
          <w:p w:rsidR="00037377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037377" w:rsidRPr="00C4542A" w:rsidRDefault="00037377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Феохромоцитома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36661E" w:rsidRPr="005234D9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D9">
              <w:rPr>
                <w:rFonts w:ascii="Times New Roman" w:hAnsi="Times New Roman" w:cs="Times New Roman"/>
                <w:sz w:val="24"/>
                <w:szCs w:val="24"/>
              </w:rPr>
              <w:t>Гормонально-неактивные опухоли надпочечников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</w:t>
            </w:r>
            <w:r w:rsidR="005F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гипоталамо-гипофизарной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FD1D3F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F">
              <w:rPr>
                <w:rFonts w:ascii="Times New Roman" w:hAnsi="Times New Roman" w:cs="Times New Roman"/>
                <w:sz w:val="24"/>
                <w:szCs w:val="24"/>
              </w:rPr>
              <w:t>Болезнь Иценко-Кушинга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 гиперпролактинемии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36661E" w:rsidRPr="0036661E" w:rsidRDefault="0036661E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E">
              <w:rPr>
                <w:rFonts w:ascii="Times New Roman" w:hAnsi="Times New Roman" w:cs="Times New Roman"/>
                <w:sz w:val="24"/>
                <w:szCs w:val="24"/>
              </w:rPr>
              <w:t>Синдром высокорослости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3666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36661E" w:rsidRPr="00FD1D3F" w:rsidRDefault="0036661E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низкорослости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3666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f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Акромегалия</w:t>
            </w:r>
            <w:r w:rsidR="0036661E">
              <w:rPr>
                <w:sz w:val="24"/>
                <w:szCs w:val="24"/>
              </w:rPr>
              <w:t xml:space="preserve"> и гигантизм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36661E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пустого турецкого седла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Гормонально-неактивные опухоли гипоф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 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Нейроэндокринные опухоли 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Гипопитуитаризм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Default="005234D9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96692" w:rsidRPr="00EF148C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аболевание женских половых желез</w:t>
            </w:r>
          </w:p>
          <w:p w:rsidR="005234D9" w:rsidRPr="00EF148C" w:rsidRDefault="005234D9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D9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Репродуктивная эндокринология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9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234D9" w:rsidRPr="009B6E96" w:rsidRDefault="005234D9" w:rsidP="009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Синдром аменореи</w:t>
            </w:r>
          </w:p>
        </w:tc>
        <w:tc>
          <w:tcPr>
            <w:tcW w:w="1194" w:type="dxa"/>
            <w:shd w:val="clear" w:color="auto" w:fill="auto"/>
          </w:tcPr>
          <w:p w:rsidR="005234D9" w:rsidRDefault="009B6E9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234D9" w:rsidRPr="00C4542A" w:rsidRDefault="005234D9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9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234D9" w:rsidRPr="009B6E96" w:rsidRDefault="005234D9" w:rsidP="009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Синдром гиперандрогении у женщин</w:t>
            </w:r>
          </w:p>
        </w:tc>
        <w:tc>
          <w:tcPr>
            <w:tcW w:w="1194" w:type="dxa"/>
            <w:shd w:val="clear" w:color="auto" w:fill="auto"/>
          </w:tcPr>
          <w:p w:rsidR="005234D9" w:rsidRDefault="009B6E9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234D9" w:rsidRPr="00C4542A" w:rsidRDefault="005234D9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19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E42919" w:rsidRPr="009B6E96" w:rsidRDefault="00917F66" w:rsidP="009B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Климактерический период  и менопауза</w:t>
            </w:r>
          </w:p>
        </w:tc>
        <w:tc>
          <w:tcPr>
            <w:tcW w:w="1194" w:type="dxa"/>
            <w:shd w:val="clear" w:color="auto" w:fill="auto"/>
          </w:tcPr>
          <w:p w:rsidR="00E42919" w:rsidRDefault="009B6E9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42919" w:rsidRPr="00C4542A" w:rsidRDefault="00E42919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96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9B6E96" w:rsidRPr="009B6E96" w:rsidRDefault="009B6E96" w:rsidP="009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Синдром гермафродитизма</w:t>
            </w:r>
          </w:p>
        </w:tc>
        <w:tc>
          <w:tcPr>
            <w:tcW w:w="1194" w:type="dxa"/>
            <w:shd w:val="clear" w:color="auto" w:fill="auto"/>
          </w:tcPr>
          <w:p w:rsidR="009B6E96" w:rsidRDefault="009B6E9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9B6E96" w:rsidRPr="00C4542A" w:rsidRDefault="009B6E96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9B6E96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Гипофункция яичников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9B6E96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Андрогенпродуцирующие опухоли яичников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EF148C" w:rsidRDefault="00596692" w:rsidP="009B6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</w:t>
            </w:r>
            <w:r w:rsidR="009B6E9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1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мужских половых желез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917F66" w:rsidRPr="00493E25" w:rsidRDefault="00917F66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Синдром гипогонадизма у мужчин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9B6E96">
        <w:trPr>
          <w:trHeight w:val="560"/>
        </w:trPr>
        <w:tc>
          <w:tcPr>
            <w:tcW w:w="7015" w:type="dxa"/>
            <w:shd w:val="clear" w:color="auto" w:fill="auto"/>
          </w:tcPr>
          <w:p w:rsidR="00596692" w:rsidRPr="00493E25" w:rsidRDefault="00917F66" w:rsidP="009B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Синдром гинекомастии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96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9B6E96" w:rsidRPr="00493E25" w:rsidRDefault="009B6E96" w:rsidP="009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Синдром преждевременного полового созревания</w:t>
            </w:r>
          </w:p>
        </w:tc>
        <w:tc>
          <w:tcPr>
            <w:tcW w:w="1194" w:type="dxa"/>
            <w:shd w:val="clear" w:color="auto" w:fill="auto"/>
          </w:tcPr>
          <w:p w:rsidR="009B6E96" w:rsidRDefault="00493E25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9B6E96" w:rsidRPr="00C4542A" w:rsidRDefault="009B6E96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96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9B6E96" w:rsidRPr="00493E25" w:rsidRDefault="009B6E96" w:rsidP="0091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Синдром задержки полового созревания</w:t>
            </w:r>
          </w:p>
        </w:tc>
        <w:tc>
          <w:tcPr>
            <w:tcW w:w="1194" w:type="dxa"/>
            <w:shd w:val="clear" w:color="auto" w:fill="auto"/>
          </w:tcPr>
          <w:p w:rsidR="009B6E96" w:rsidRDefault="00493E25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9B6E96" w:rsidRPr="00C4542A" w:rsidRDefault="009B6E96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яичек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андрогенный дефицит</w:t>
            </w:r>
            <w:r w:rsidR="00917F66">
              <w:rPr>
                <w:rFonts w:ascii="Times New Roman" w:hAnsi="Times New Roman" w:cs="Times New Roman"/>
                <w:sz w:val="24"/>
                <w:szCs w:val="24"/>
              </w:rPr>
              <w:t xml:space="preserve"> у мужчин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6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917F66" w:rsidRPr="009B6E96" w:rsidRDefault="0091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6">
              <w:rPr>
                <w:rFonts w:ascii="Times New Roman" w:hAnsi="Times New Roman" w:cs="Times New Roman"/>
                <w:sz w:val="24"/>
                <w:szCs w:val="24"/>
              </w:rPr>
              <w:t>Синдром Клайнфелтера</w:t>
            </w:r>
          </w:p>
        </w:tc>
        <w:tc>
          <w:tcPr>
            <w:tcW w:w="1194" w:type="dxa"/>
            <w:shd w:val="clear" w:color="auto" w:fill="auto"/>
          </w:tcPr>
          <w:p w:rsidR="00917F66" w:rsidRDefault="00917F66">
            <w:r>
              <w:t xml:space="preserve">         2</w:t>
            </w:r>
          </w:p>
        </w:tc>
        <w:tc>
          <w:tcPr>
            <w:tcW w:w="1194" w:type="dxa"/>
            <w:shd w:val="clear" w:color="auto" w:fill="auto"/>
          </w:tcPr>
          <w:p w:rsidR="00917F66" w:rsidRDefault="00917F66"/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Врожденные нарушения половой дифференцировки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B965D4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D4">
              <w:rPr>
                <w:rFonts w:ascii="Times New Roman" w:hAnsi="Times New Roman" w:cs="Times New Roman"/>
                <w:b/>
                <w:sz w:val="24"/>
                <w:szCs w:val="24"/>
              </w:rPr>
              <w:t>Синдром множественных эндокринных неоплазий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B965D4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множественных эндокринных неоплазий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B965D4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множественных эндокринных неоплазий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B965D4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D4">
              <w:rPr>
                <w:rFonts w:ascii="Times New Roman" w:hAnsi="Times New Roman" w:cs="Times New Roman"/>
                <w:b/>
                <w:sz w:val="24"/>
                <w:szCs w:val="24"/>
              </w:rPr>
              <w:t>Ожирение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51233E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3E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194" w:type="dxa"/>
            <w:shd w:val="clear" w:color="auto" w:fill="auto"/>
          </w:tcPr>
          <w:p w:rsidR="00596692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Метаболический синдром</w:t>
            </w:r>
          </w:p>
        </w:tc>
        <w:tc>
          <w:tcPr>
            <w:tcW w:w="1194" w:type="dxa"/>
            <w:shd w:val="clear" w:color="auto" w:fill="auto"/>
          </w:tcPr>
          <w:p w:rsidR="00596692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Неотложные состояния при заболеваниях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8B6C06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Кетоацидотическая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Гипогликемическая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Гиперосмолярная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Лактоацидотическая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Тиреотоксический криз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Гипотиреоидная кома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 надпочечниковая недостаточность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вопросы смежной патологии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эндокринология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Гестационный диабет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и </w:t>
            </w:r>
            <w:r w:rsidRPr="00D8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гипотиреоз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и </w:t>
            </w:r>
            <w:r w:rsidRPr="00D8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Гастропатии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патологии 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ССС при патологии 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F91CF3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F3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 и мочевыделительной системы при патологии 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F3">
              <w:rPr>
                <w:rFonts w:ascii="Times New Roman" w:hAnsi="Times New Roman" w:cs="Times New Roman"/>
                <w:sz w:val="24"/>
                <w:szCs w:val="24"/>
              </w:rPr>
              <w:t>Поражения опорно-двигательного аппарата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нервной системы </w:t>
            </w:r>
            <w:r w:rsidR="00917F6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эндокринной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Хирургическое лечение заболеваний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516"/>
        </w:trPr>
        <w:tc>
          <w:tcPr>
            <w:tcW w:w="7015" w:type="dxa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хирургического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хирургическому лечению</w:t>
            </w:r>
          </w:p>
        </w:tc>
        <w:tc>
          <w:tcPr>
            <w:tcW w:w="1194" w:type="dxa"/>
            <w:shd w:val="clear" w:color="auto" w:fill="auto"/>
          </w:tcPr>
          <w:p w:rsidR="00596692" w:rsidRPr="00D313DF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4632F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результаты хирургического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556054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Фармакология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и тактика применения медикаментозных средств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Побочное действие лекарств, применяемых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Сочетание фармакотерапии с другими видами лечения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556054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66" w:rsidRPr="00C4542A" w:rsidTr="00ED322F">
        <w:trPr>
          <w:trHeight w:val="147"/>
        </w:trPr>
        <w:tc>
          <w:tcPr>
            <w:tcW w:w="7015" w:type="dxa"/>
          </w:tcPr>
          <w:p w:rsidR="00917F66" w:rsidRPr="009B6F5C" w:rsidRDefault="00871426" w:rsidP="00871426">
            <w:r w:rsidRPr="00871426">
              <w:rPr>
                <w:rFonts w:ascii="Times New Roman" w:hAnsi="Times New Roman" w:cs="Times New Roman"/>
                <w:sz w:val="24"/>
                <w:szCs w:val="24"/>
              </w:rPr>
              <w:t>Обучение самоконтролю больных  с СД</w:t>
            </w:r>
          </w:p>
        </w:tc>
        <w:tc>
          <w:tcPr>
            <w:tcW w:w="1194" w:type="dxa"/>
          </w:tcPr>
          <w:p w:rsidR="00917F66" w:rsidRPr="008D71F4" w:rsidRDefault="008D71F4" w:rsidP="008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917F66" w:rsidRPr="009B6F5C" w:rsidRDefault="00917F66" w:rsidP="00302A9F"/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эндокринологии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ультразвука. Датчики 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ультразвуковая волна. Отражение и рассеивание ультразвука. 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Рентгенологическая диагностика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эндокринологии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методы в рентгенологии. Дополнительные методы (КТ, МРТ). 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аболевания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эндокринной системы</w:t>
            </w: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лиц пожилого возраста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обследования пожилых больных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596692" w:rsidRPr="00D864AA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Гипертиреоз у пожилых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Тиреотоксикоз у пожилых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FFFFFF" w:themeFill="background1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в пожилом возрасте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</w:tcPr>
          <w:p w:rsidR="00596692" w:rsidRPr="00D313DF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диетологии при заболеваниях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Базисные сведения о важнейших видах обмена веществ: белки, углеводы, жиры. Потребности человека в белке и энергии</w:t>
            </w:r>
          </w:p>
        </w:tc>
        <w:tc>
          <w:tcPr>
            <w:tcW w:w="1194" w:type="dxa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диеты. Разгрузочно-диетическая терапия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заболеваниях эндокринной системы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tcBorders>
              <w:bottom w:val="single" w:sz="4" w:space="0" w:color="000000" w:themeColor="text1"/>
            </w:tcBorders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хлебных единиц(ХЕ)</w:t>
            </w:r>
          </w:p>
        </w:tc>
        <w:tc>
          <w:tcPr>
            <w:tcW w:w="1194" w:type="dxa"/>
            <w:shd w:val="clear" w:color="auto" w:fill="auto"/>
          </w:tcPr>
          <w:p w:rsidR="00596692" w:rsidRPr="00D313DF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диетотерапии при метаболическом синдроме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диетотерапии ожирения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  <w:vAlign w:val="center"/>
          </w:tcPr>
          <w:p w:rsidR="00596692" w:rsidRPr="00C4542A" w:rsidRDefault="00596692" w:rsidP="00ED322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917F66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7"/>
        </w:trPr>
        <w:tc>
          <w:tcPr>
            <w:tcW w:w="7015" w:type="dxa"/>
            <w:shd w:val="clear" w:color="auto" w:fill="auto"/>
            <w:vAlign w:val="center"/>
          </w:tcPr>
          <w:p w:rsidR="00596692" w:rsidRPr="00C4542A" w:rsidRDefault="00596692" w:rsidP="00ED322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456"/>
        </w:trPr>
        <w:tc>
          <w:tcPr>
            <w:tcW w:w="7015" w:type="dxa"/>
            <w:shd w:val="clear" w:color="auto" w:fill="auto"/>
            <w:vAlign w:val="center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организация клинико-анатомических конференций, комиссий по исследованию летальных исходо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лечебно-контрольных комиссий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456"/>
        </w:trPr>
        <w:tc>
          <w:tcPr>
            <w:tcW w:w="7015" w:type="dxa"/>
            <w:shd w:val="clear" w:color="auto" w:fill="auto"/>
            <w:vAlign w:val="center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формулировки заключительного клинического и патологоанатомического диагнозов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  <w:vAlign w:val="center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Морфологическое заключение по биопсионн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5F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 w:rsidR="005F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эндокринных органов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основных синдромов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Ятрогенные болезни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Лекарственная болезнь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rPr>
          <w:trHeight w:val="143"/>
        </w:trPr>
        <w:tc>
          <w:tcPr>
            <w:tcW w:w="7015" w:type="dxa"/>
            <w:shd w:val="clear" w:color="auto" w:fill="auto"/>
          </w:tcPr>
          <w:p w:rsidR="00596692" w:rsidRPr="00C4542A" w:rsidRDefault="00596692" w:rsidP="00ED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Осложнения инвазивных процедур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6739"/>
        <w:gridCol w:w="1147"/>
        <w:gridCol w:w="1720"/>
      </w:tblGrid>
      <w:tr w:rsidR="00596692" w:rsidRPr="00C4542A" w:rsidTr="00ED322F">
        <w:trPr>
          <w:trHeight w:val="342"/>
        </w:trPr>
        <w:tc>
          <w:tcPr>
            <w:tcW w:w="6739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328"/>
        </w:trPr>
        <w:tc>
          <w:tcPr>
            <w:tcW w:w="6739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при заболеваниях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037377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6692" w:rsidRPr="00C4542A" w:rsidTr="00ED322F">
        <w:trPr>
          <w:trHeight w:val="700"/>
        </w:trPr>
        <w:tc>
          <w:tcPr>
            <w:tcW w:w="6739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умирания и помощь на последнем этапе жизни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неотложных состояниях эндокринной системы</w:t>
            </w:r>
          </w:p>
        </w:tc>
        <w:tc>
          <w:tcPr>
            <w:tcW w:w="1147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C71" w:rsidRDefault="00877C71" w:rsidP="00596692">
      <w:pPr>
        <w:pStyle w:val="ab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C71" w:rsidRDefault="00877C71" w:rsidP="00596692">
      <w:pPr>
        <w:pStyle w:val="ab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 xml:space="preserve">Общие проблемы пациента                                                                       </w:t>
      </w:r>
      <w:r w:rsidRPr="00D313DF">
        <w:rPr>
          <w:rFonts w:ascii="Times New Roman" w:hAnsi="Times New Roman" w:cs="Times New Roman"/>
          <w:b/>
          <w:sz w:val="24"/>
          <w:szCs w:val="24"/>
        </w:rPr>
        <w:t>(Перечень 3)</w:t>
      </w:r>
    </w:p>
    <w:tbl>
      <w:tblPr>
        <w:tblStyle w:val="af6"/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79"/>
        <w:gridCol w:w="1296"/>
      </w:tblGrid>
      <w:tr w:rsidR="00596692" w:rsidRPr="00134029" w:rsidTr="00ED322F">
        <w:trPr>
          <w:trHeight w:val="327"/>
        </w:trPr>
        <w:tc>
          <w:tcPr>
            <w:tcW w:w="8279" w:type="dxa"/>
            <w:shd w:val="clear" w:color="auto" w:fill="auto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:rsidR="00596692" w:rsidRPr="00134029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6692" w:rsidRPr="00C4542A" w:rsidTr="00ED322F">
        <w:trPr>
          <w:trHeight w:val="341"/>
        </w:trPr>
        <w:tc>
          <w:tcPr>
            <w:tcW w:w="8279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Трудный пациент/агрессивный пациент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1296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692" w:rsidRPr="00C4542A" w:rsidTr="00ED322F">
        <w:trPr>
          <w:trHeight w:val="682"/>
        </w:trPr>
        <w:tc>
          <w:tcPr>
            <w:tcW w:w="8279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296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692" w:rsidRPr="00C4542A" w:rsidTr="00ED322F">
        <w:trPr>
          <w:trHeight w:val="341"/>
        </w:trPr>
        <w:tc>
          <w:tcPr>
            <w:tcW w:w="8279" w:type="dxa"/>
          </w:tcPr>
          <w:p w:rsidR="00596692" w:rsidRPr="00C4542A" w:rsidRDefault="00596692" w:rsidP="00ED322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1296" w:type="dxa"/>
          </w:tcPr>
          <w:p w:rsidR="00596692" w:rsidRPr="00C4542A" w:rsidRDefault="00596692" w:rsidP="00ED32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6692" w:rsidRPr="00C4542A" w:rsidRDefault="00596692" w:rsidP="0059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C4542A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3.4</w:t>
      </w:r>
      <w:r w:rsidRPr="00C4542A">
        <w:rPr>
          <w:rFonts w:ascii="Times New Roman" w:hAnsi="Times New Roman" w:cs="Times New Roman"/>
          <w:b/>
          <w:sz w:val="24"/>
          <w:szCs w:val="24"/>
        </w:rPr>
        <w:tab/>
        <w:t>Врачебные манипуляции и практические навыки                        (Перечень 4)</w:t>
      </w:r>
    </w:p>
    <w:p w:rsidR="00596692" w:rsidRDefault="00596692" w:rsidP="00596692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Pr="00D313DF" w:rsidRDefault="005F6B79" w:rsidP="0059669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="00596692" w:rsidRPr="00D313DF">
        <w:rPr>
          <w:rFonts w:ascii="Times New Roman" w:hAnsi="Times New Roman" w:cs="Times New Roman"/>
          <w:b/>
          <w:sz w:val="24"/>
          <w:szCs w:val="24"/>
        </w:rPr>
        <w:t>эндокринолог должен уметь выполнять самостоятельно следующие манипуляции: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2"/>
        <w:gridCol w:w="7456"/>
        <w:gridCol w:w="1667"/>
      </w:tblGrid>
      <w:tr w:rsidR="00596692" w:rsidRPr="00C4542A" w:rsidTr="00ED322F">
        <w:tc>
          <w:tcPr>
            <w:tcW w:w="73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6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Манипуляция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Методы стандартного обследования больных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эндокринной системы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200</w:t>
            </w:r>
          </w:p>
        </w:tc>
      </w:tr>
      <w:tr w:rsidR="00596692" w:rsidRPr="00C4542A" w:rsidTr="00ED322F">
        <w:trPr>
          <w:trHeight w:val="850"/>
        </w:trPr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70676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>кспресс –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уровня глюкозы крови с помощью глюкометра  и интерпретация их результатов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799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показания к назначению методики</w:t>
            </w:r>
            <w:r w:rsidRPr="000A54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уровня гликолизированного гемоглобина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его оценка</w:t>
            </w:r>
          </w:p>
        </w:tc>
        <w:tc>
          <w:tcPr>
            <w:tcW w:w="1667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61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Самостоятельное проведение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методики </w:t>
            </w:r>
            <w:r w:rsidRPr="00046159">
              <w:rPr>
                <w:rFonts w:ascii="Times New Roman" w:eastAsia="MS Mincho" w:hAnsi="Times New Roman" w:cs="Times New Roman"/>
                <w:sz w:val="24"/>
                <w:szCs w:val="24"/>
              </w:rPr>
              <w:t>перорального глюкозотолерантного теста (ПГТТ)  и интерпретация их результатов</w:t>
            </w:r>
          </w:p>
        </w:tc>
        <w:tc>
          <w:tcPr>
            <w:tcW w:w="1667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E07990" w:rsidRDefault="00596692" w:rsidP="00ED322F">
            <w:pPr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0461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Самостоятельное проведение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методики определения нарушения </w:t>
            </w:r>
            <w:r w:rsidRPr="00E07990">
              <w:rPr>
                <w:rFonts w:ascii="Times New Roman" w:eastAsia="MS Mincho" w:hAnsi="Times New Roman" w:cs="Times New Roman"/>
                <w:sz w:val="24"/>
                <w:szCs w:val="24"/>
              </w:rPr>
              <w:t>видов чувствительности при диабетической нейропатии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оценка </w:t>
            </w:r>
            <w:r w:rsidRPr="00046159">
              <w:rPr>
                <w:rFonts w:ascii="Times New Roman" w:eastAsia="MS Mincho" w:hAnsi="Times New Roman" w:cs="Times New Roman"/>
                <w:sz w:val="24"/>
                <w:szCs w:val="24"/>
              </w:rPr>
              <w:t>их результатов</w:t>
            </w:r>
          </w:p>
        </w:tc>
        <w:tc>
          <w:tcPr>
            <w:tcW w:w="1667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Самостоятельное проведение 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осмотра стопы при СД </w:t>
            </w: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и  оценка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ее состояния   </w:t>
            </w:r>
          </w:p>
        </w:tc>
        <w:tc>
          <w:tcPr>
            <w:tcW w:w="1667" w:type="dxa"/>
          </w:tcPr>
          <w:p w:rsidR="00596692" w:rsidRPr="000A542F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Обосновать показания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к определению  протеинурии и подсчет СКФ с оценкой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Обоснование целевых уровней липидного обмена при СД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60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Обоснование целевых уровней углеводного обмена при СД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Обоснование целевых уровней АД  при СД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ание</w:t>
            </w: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й</w:t>
            </w:r>
            <w:r w:rsidRPr="00E07990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к назначению методик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функциональных тестов при автономной нейропатии: проба Вальсальвы, ортостатическая проба, проба с изометрической нагрузкой и самостоятельная их проведения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50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Уметь проводитьобучение в </w:t>
            </w:r>
            <w:r w:rsidRPr="00B54E47">
              <w:rPr>
                <w:rFonts w:ascii="Times New Roman" w:eastAsia="BalticaC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е </w:t>
            </w:r>
            <w:r w:rsidRPr="00B54E47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самокон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троля больных сахарным диабетом и оценивать конечные результаты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50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Подсчет ИМТ и интерпретация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Измерение роста пациента и оценка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Техника</w:t>
            </w:r>
            <w:r w:rsidR="005F6B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</w:t>
            </w:r>
            <w:r w:rsidRPr="000A542F">
              <w:rPr>
                <w:rFonts w:ascii="Times New Roman" w:eastAsia="BalticaC" w:hAnsi="Times New Roman" w:cs="Times New Roman"/>
                <w:sz w:val="24"/>
                <w:szCs w:val="24"/>
              </w:rPr>
              <w:t>инъекций</w:t>
            </w:r>
            <w:r w:rsidR="005F6B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</w:t>
            </w:r>
            <w:r w:rsidRPr="000A542F">
              <w:rPr>
                <w:rFonts w:ascii="Times New Roman" w:eastAsia="BalticaC" w:hAnsi="Times New Roman" w:cs="Times New Roman"/>
                <w:sz w:val="24"/>
                <w:szCs w:val="24"/>
              </w:rPr>
              <w:t>инсулина</w:t>
            </w:r>
          </w:p>
        </w:tc>
        <w:tc>
          <w:tcPr>
            <w:tcW w:w="1667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Определение режима и дозы инсулинотерапии</w:t>
            </w:r>
          </w:p>
        </w:tc>
        <w:tc>
          <w:tcPr>
            <w:tcW w:w="1667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Расчет хлебных единиц (ХЕ)</w:t>
            </w:r>
          </w:p>
        </w:tc>
        <w:tc>
          <w:tcPr>
            <w:tcW w:w="1667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Осмотр и пальпация щитовидной железы, оценка степени увеличения ЩЖ</w:t>
            </w:r>
          </w:p>
        </w:tc>
        <w:tc>
          <w:tcPr>
            <w:tcW w:w="1667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Обосновать показания к назначению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определению гормонов</w:t>
            </w: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щитовидной железы</w:t>
            </w:r>
            <w:r w:rsidRPr="000A542F">
              <w:rPr>
                <w:rFonts w:ascii="Times New Roman" w:eastAsia="MS Mincho" w:hAnsi="Times New Roman" w:cs="Times New Roman"/>
                <w:sz w:val="24"/>
                <w:szCs w:val="24"/>
              </w:rPr>
              <w:t>: Т4своб, ТТГ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а-ТПО и оценка их показателей</w:t>
            </w:r>
          </w:p>
        </w:tc>
        <w:tc>
          <w:tcPr>
            <w:tcW w:w="1667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Обосновать показания к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проведению ТАПБ щитовидной железы и</w:t>
            </w:r>
            <w:r w:rsidR="005F6B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>ценка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</w:t>
            </w: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Самостоятельное определение глазных симптомов при тиреотоксикозе и их оценка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</w:t>
            </w:r>
            <w:r w:rsidR="005F6B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оценка позы Ромберга, дермографизма при тиреотоксикозе</w:t>
            </w:r>
          </w:p>
        </w:tc>
        <w:tc>
          <w:tcPr>
            <w:tcW w:w="1667" w:type="dxa"/>
          </w:tcPr>
          <w:p w:rsidR="00596692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0A542F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Самостоятельное проведение  проб Хвостека, Труссо, Вейса при гипопаратиреозе и их оценка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Обосновать показания к назначению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определения гормонов гипоталамо-гипофизарной системы (АКТГ, ТТГ, ЛГ, ФСГ, СТГ, пролактин, мелатонин, АДГ, окситоцин) и оценка их показателей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Обосновать показания к назначению  определения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гормонов надпочечников (кортизол, катехоламины, андрогены)</w:t>
            </w: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>и оценка их показателей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C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Обосновать показания к назначению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проведения большой и малой дексаметазоновой, маршевой проб, пробы с десмопрессином и оценка их результатов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и пальпация молочных желез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Оценка их состояния</w:t>
            </w:r>
          </w:p>
        </w:tc>
        <w:tc>
          <w:tcPr>
            <w:tcW w:w="1667" w:type="dxa"/>
          </w:tcPr>
          <w:p w:rsidR="00596692" w:rsidRPr="008B6C06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8B6C06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и пальпация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органов,  общая оценка полового развития</w:t>
            </w:r>
          </w:p>
        </w:tc>
        <w:tc>
          <w:tcPr>
            <w:tcW w:w="1667" w:type="dxa"/>
          </w:tcPr>
          <w:p w:rsidR="00596692" w:rsidRPr="008B6C06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8B6C06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методике    проведения ультразвуковых исследований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щитовидной железы </w:t>
            </w:r>
            <w:r w:rsidRPr="0088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самостоятельная интерпретация их </w:t>
            </w:r>
            <w:r w:rsidRPr="00881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8B6C06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Обосновать показания к назначению методик компьютерной томографии и ядерно-магнитного резонанса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эндокринной системы</w:t>
            </w: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самостоятельная интерпретация их результатов.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методике    рентгенографии турецкого седла и самостоятельная интерпретация результатов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Обосновать показания к назначению методик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ерентгенографии</w:t>
            </w:r>
            <w:r w:rsidRPr="008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позвоночника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кистей рук и</w:t>
            </w: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интерпретация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04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   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4542A" w:rsidRDefault="00596692" w:rsidP="00ED322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1971">
              <w:rPr>
                <w:rFonts w:ascii="Times New Roman" w:hAnsi="Times New Roman" w:cs="Times New Roman"/>
                <w:sz w:val="24"/>
                <w:szCs w:val="24"/>
              </w:rPr>
              <w:t>Самостоятельное снятие ЭКГ и выявление неотложных изменений с организацией дальнейших действий (направить к специалисту)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4542A" w:rsidRDefault="00596692" w:rsidP="00ED3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к назначению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биохимических показателей крови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мочи при эндокринных заболеваниях и </w:t>
            </w:r>
            <w:r w:rsidRPr="00046159">
              <w:rPr>
                <w:rFonts w:ascii="Times New Roman" w:hAnsi="Times New Roman" w:cs="Times New Roman"/>
                <w:sz w:val="24"/>
                <w:szCs w:val="24"/>
              </w:rPr>
              <w:t>самостоятельная интерпретация их результатов</w:t>
            </w:r>
          </w:p>
        </w:tc>
        <w:tc>
          <w:tcPr>
            <w:tcW w:w="1667" w:type="dxa"/>
          </w:tcPr>
          <w:p w:rsidR="00596692" w:rsidRDefault="00596692" w:rsidP="00ED3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4542A" w:rsidRDefault="00596692" w:rsidP="00ED32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и ведение   медицинской  карты  стационарного  больного,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выписки  из  медицинской  карты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596692" w:rsidRPr="00C4542A" w:rsidRDefault="00596692" w:rsidP="00ED32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Заполнение  и ведение  медицинской  документации  в поликлинике: медицинской  карты амбулаторного больного, статистического  талона,  листа  нетрудоспособности,  направления  на госпитализации,санаторно –курортной  карты и других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692" w:rsidRPr="00C4542A" w:rsidTr="00ED322F">
        <w:tc>
          <w:tcPr>
            <w:tcW w:w="732" w:type="dxa"/>
          </w:tcPr>
          <w:p w:rsidR="00596692" w:rsidRPr="00C4542A" w:rsidRDefault="00596692" w:rsidP="00B77E0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</w:tcPr>
          <w:p w:rsidR="00037377" w:rsidRPr="00C4542A" w:rsidRDefault="00596692" w:rsidP="000373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23">
              <w:rPr>
                <w:rFonts w:ascii="Times New Roman" w:hAnsi="Times New Roman" w:cs="Times New Roman"/>
                <w:sz w:val="24"/>
                <w:szCs w:val="24"/>
              </w:rPr>
              <w:t>Обосновать показания   к направлению пациента  на ВТЭ и заполнение спецкарты</w:t>
            </w:r>
          </w:p>
        </w:tc>
        <w:tc>
          <w:tcPr>
            <w:tcW w:w="1667" w:type="dxa"/>
          </w:tcPr>
          <w:p w:rsidR="00596692" w:rsidRPr="00C4542A" w:rsidRDefault="00596692" w:rsidP="00ED32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6692" w:rsidRDefault="00596692" w:rsidP="0059669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ab/>
      </w:r>
      <w:r w:rsidRPr="00C4542A">
        <w:rPr>
          <w:rFonts w:ascii="Times New Roman" w:eastAsia="MS Mincho" w:hAnsi="Times New Roman" w:cs="Times New Roman"/>
          <w:sz w:val="24"/>
          <w:szCs w:val="24"/>
        </w:rPr>
        <w:tab/>
      </w:r>
    </w:p>
    <w:p w:rsidR="00596692" w:rsidRDefault="00596692" w:rsidP="0059669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0676" w:rsidRPr="00C4542A" w:rsidRDefault="00C70676" w:rsidP="0059669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96692" w:rsidRPr="005426A9" w:rsidRDefault="00596692" w:rsidP="00B77E08">
      <w:pPr>
        <w:pStyle w:val="ab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426A9">
        <w:rPr>
          <w:rFonts w:ascii="Times New Roman" w:hAnsi="Times New Roman" w:cs="Times New Roman"/>
          <w:b/>
          <w:sz w:val="24"/>
          <w:szCs w:val="24"/>
        </w:rPr>
        <w:t>Неотложные состояния (Перечень 5)</w:t>
      </w:r>
    </w:p>
    <w:p w:rsidR="00596692" w:rsidRDefault="00596692" w:rsidP="0059669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F6B79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олог»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дальнейшей медицинской помощи при следующих неотложных состояниях:</w:t>
      </w:r>
    </w:p>
    <w:p w:rsidR="00596692" w:rsidRPr="00C4542A" w:rsidRDefault="00596692" w:rsidP="00877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C4542A">
        <w:rPr>
          <w:rFonts w:ascii="Times New Roman" w:hAnsi="Times New Roman" w:cs="Times New Roman"/>
          <w:sz w:val="24"/>
          <w:szCs w:val="24"/>
        </w:rPr>
        <w:t xml:space="preserve">Анафилактический шок при заболеваниях </w:t>
      </w:r>
      <w:r>
        <w:rPr>
          <w:rFonts w:ascii="Times New Roman" w:hAnsi="Times New Roman" w:cs="Times New Roman"/>
          <w:sz w:val="24"/>
          <w:szCs w:val="24"/>
        </w:rPr>
        <w:t>эндокринной системы</w:t>
      </w:r>
    </w:p>
    <w:p w:rsidR="00596692" w:rsidRDefault="00596692" w:rsidP="00877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C4542A">
        <w:rPr>
          <w:rFonts w:ascii="Times New Roman" w:hAnsi="Times New Roman" w:cs="Times New Roman"/>
          <w:sz w:val="24"/>
          <w:szCs w:val="24"/>
        </w:rPr>
        <w:t>Крапивница и отек Квинкепризаболеваниях</w:t>
      </w:r>
      <w:r>
        <w:rPr>
          <w:rFonts w:ascii="Times New Roman" w:hAnsi="Times New Roman" w:cs="Times New Roman"/>
          <w:sz w:val="24"/>
          <w:szCs w:val="24"/>
        </w:rPr>
        <w:t>эндокринной системы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     Кетоацидотическая кома по тяжести состояния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     Гипогликемическаякомапо тяжести состояния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      Гиперосмолярная кома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      Лактоацидотическая кома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      Тиреотоксический криз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8.       Гипотиреоидная кома</w:t>
      </w:r>
    </w:p>
    <w:p w:rsidR="00596692" w:rsidRDefault="00596692" w:rsidP="00877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       Уремическая кома</w:t>
      </w:r>
    </w:p>
    <w:p w:rsidR="00596692" w:rsidRDefault="00596692" w:rsidP="00877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     Острая  надпочечниковая недостаточность</w:t>
      </w:r>
    </w:p>
    <w:p w:rsidR="00596692" w:rsidRDefault="00596692" w:rsidP="00877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Pr="00C4542A">
        <w:rPr>
          <w:rFonts w:ascii="Times New Roman" w:hAnsi="Times New Roman" w:cs="Times New Roman"/>
          <w:sz w:val="24"/>
          <w:szCs w:val="24"/>
        </w:rPr>
        <w:t xml:space="preserve">Острая </w:t>
      </w:r>
      <w:r>
        <w:rPr>
          <w:rFonts w:ascii="Times New Roman" w:hAnsi="Times New Roman" w:cs="Times New Roman"/>
          <w:sz w:val="24"/>
          <w:szCs w:val="24"/>
        </w:rPr>
        <w:t xml:space="preserve">легочная и сердечная недостаточность, </w:t>
      </w:r>
      <w:r w:rsidRPr="00C4542A">
        <w:rPr>
          <w:rFonts w:ascii="Times New Roman" w:hAnsi="Times New Roman" w:cs="Times New Roman"/>
          <w:sz w:val="24"/>
          <w:szCs w:val="24"/>
        </w:rPr>
        <w:t xml:space="preserve">при заболеваниях </w:t>
      </w:r>
      <w:r>
        <w:rPr>
          <w:rFonts w:ascii="Times New Roman" w:hAnsi="Times New Roman" w:cs="Times New Roman"/>
          <w:sz w:val="24"/>
          <w:szCs w:val="24"/>
        </w:rPr>
        <w:t>эндокринной системы</w:t>
      </w:r>
    </w:p>
    <w:p w:rsidR="00596692" w:rsidRPr="00C4542A" w:rsidRDefault="00596692" w:rsidP="00877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</w:t>
      </w:r>
      <w:r w:rsidRPr="00C4542A">
        <w:rPr>
          <w:rFonts w:ascii="Times New Roman" w:hAnsi="Times New Roman" w:cs="Times New Roman"/>
          <w:sz w:val="24"/>
          <w:szCs w:val="24"/>
        </w:rPr>
        <w:t>Клиническаясмертьпри</w:t>
      </w:r>
      <w:r w:rsidRPr="004632FA">
        <w:rPr>
          <w:rFonts w:ascii="Times New Roman" w:hAnsi="Times New Roman" w:cs="Times New Roman"/>
          <w:sz w:val="24"/>
          <w:szCs w:val="24"/>
        </w:rPr>
        <w:t>заболеваниях эндокринной системы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676" w:rsidRDefault="00C70676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76" w:rsidRDefault="00C70676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71" w:rsidRDefault="00596692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</w:p>
    <w:p w:rsidR="00037377" w:rsidRDefault="00037377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037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признания и классификация учреждений последипломного образования</w:t>
      </w:r>
    </w:p>
    <w:p w:rsidR="00596692" w:rsidRPr="00C4542A" w:rsidRDefault="00596692" w:rsidP="00037377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А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ологии национальных центров, научно-исследовательских институтов и других республиканских учреждений.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В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(2 года):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ологии городских, региональных клиник и областных больниц.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2A">
        <w:rPr>
          <w:rFonts w:ascii="Times New Roman" w:hAnsi="Times New Roman" w:cs="Times New Roman"/>
          <w:b/>
          <w:sz w:val="24"/>
          <w:szCs w:val="24"/>
        </w:rPr>
        <w:t>(1 год):</w:t>
      </w:r>
      <w:r w:rsidRPr="00C4542A">
        <w:rPr>
          <w:rFonts w:ascii="Times New Roman" w:hAnsi="Times New Roman" w:cs="Times New Roman"/>
          <w:sz w:val="24"/>
          <w:szCs w:val="24"/>
        </w:rPr>
        <w:t xml:space="preserve">  Терапевтические и другие отделения специализирующиеся на оказании помощи больным с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ологическими заболеваниями.</w:t>
      </w:r>
    </w:p>
    <w:p w:rsidR="00596692" w:rsidRPr="00C4542A" w:rsidRDefault="00596692" w:rsidP="0059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Категория Д</w:t>
      </w:r>
      <w:r w:rsidR="005F6B79">
        <w:rPr>
          <w:rFonts w:ascii="Times New Roman" w:hAnsi="Times New Roman" w:cs="Times New Roman"/>
          <w:b/>
          <w:sz w:val="24"/>
          <w:szCs w:val="24"/>
        </w:rPr>
        <w:t xml:space="preserve"> (6 месяце</w:t>
      </w:r>
      <w:r w:rsidRPr="00C4542A">
        <w:rPr>
          <w:rFonts w:ascii="Times New Roman" w:hAnsi="Times New Roman" w:cs="Times New Roman"/>
          <w:b/>
          <w:sz w:val="24"/>
          <w:szCs w:val="24"/>
        </w:rPr>
        <w:t xml:space="preserve">в):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Медицинские кабинеты, специализирующие в области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ологии.</w:t>
      </w:r>
    </w:p>
    <w:p w:rsidR="00596692" w:rsidRDefault="00596692" w:rsidP="00596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596692" w:rsidRPr="00C4542A" w:rsidTr="00ED322F">
        <w:tc>
          <w:tcPr>
            <w:tcW w:w="6629" w:type="dxa"/>
            <w:tcBorders>
              <w:right w:val="single" w:sz="4" w:space="0" w:color="auto"/>
            </w:tcBorders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596692" w:rsidRPr="00C4542A" w:rsidRDefault="00596692" w:rsidP="00ED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596692" w:rsidRPr="00C4542A" w:rsidTr="00ED322F">
        <w:tc>
          <w:tcPr>
            <w:tcW w:w="6629" w:type="dxa"/>
            <w:tcBorders>
              <w:right w:val="single" w:sz="4" w:space="0" w:color="auto"/>
            </w:tcBorders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692" w:rsidRPr="00C4542A" w:rsidRDefault="00596692" w:rsidP="00ED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692" w:rsidRPr="00C4542A" w:rsidRDefault="00596692" w:rsidP="00ED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96692" w:rsidRPr="00C4542A" w:rsidRDefault="00596692" w:rsidP="00ED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ологии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ологии городских, региональных клиник и областных больниц.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ологии, являющийся сотрудником факультета 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обучения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, гнойный</w:t>
            </w:r>
            <w:r w:rsidR="005F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и сосудистый хирург, невропатолог,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нефролог, кардиолог,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офтальмолог)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медицинские услуги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</w:t>
            </w: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E5">
              <w:rPr>
                <w:rFonts w:ascii="Times New Roman" w:hAnsi="Times New Roman" w:cs="Times New Roman"/>
                <w:sz w:val="24"/>
                <w:szCs w:val="24"/>
              </w:rPr>
              <w:t>Экспресс – метод определения уровня глюкозы крови с помощью глюкометра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517279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гликолизированного гемоглобина 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517279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hAnsi="Times New Roman" w:cs="Times New Roman"/>
                <w:sz w:val="24"/>
                <w:szCs w:val="24"/>
              </w:rPr>
              <w:t>Проведение  перорального глюкозотолерантного теста (ПГТТ)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517279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при диабетической нейропатии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517279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>Определение режима и дозы инсулинотерапии</w:t>
            </w:r>
          </w:p>
          <w:p w:rsidR="00596692" w:rsidRPr="00517279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>Расчет хлебных единиц (ХЕ)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517279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Ш</w:t>
            </w:r>
            <w:r w:rsidRPr="00B54E47">
              <w:rPr>
                <w:rFonts w:ascii="Times New Roman" w:eastAsia="BalticaC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а</w:t>
            </w:r>
            <w:r w:rsidRPr="00B54E47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самоконтроля больных сахарным диабетом.</w:t>
            </w:r>
          </w:p>
        </w:tc>
        <w:tc>
          <w:tcPr>
            <w:tcW w:w="992" w:type="dxa"/>
          </w:tcPr>
          <w:p w:rsidR="00596692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692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96692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2" w:rsidRPr="00C4542A" w:rsidTr="00ED322F">
        <w:tc>
          <w:tcPr>
            <w:tcW w:w="6629" w:type="dxa"/>
          </w:tcPr>
          <w:p w:rsidR="00596692" w:rsidRDefault="00596692" w:rsidP="00ED322F">
            <w:pPr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Тонкоигольная аспирационная биопсия щи</w:t>
            </w:r>
            <w:r w:rsidRPr="008E75E5">
              <w:rPr>
                <w:rFonts w:ascii="Times New Roman" w:eastAsia="BalticaC" w:hAnsi="Times New Roman" w:cs="Times New Roman"/>
                <w:sz w:val="24"/>
                <w:szCs w:val="24"/>
              </w:rPr>
              <w:t>товидной железы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Pr="000A542F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Проведение </w:t>
            </w:r>
            <w:r w:rsidRPr="008E75E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большой и малой дексаметазоновой, маршевой проб, пробы с десмопрессином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Иммунологическая исследования гормонов(Т4своб, ТТГ, антитела к </w:t>
            </w:r>
            <w:r w:rsidRPr="008E75E5">
              <w:rPr>
                <w:rFonts w:ascii="Times New Roman" w:eastAsia="BalticaC" w:hAnsi="Times New Roman" w:cs="Times New Roman"/>
                <w:sz w:val="24"/>
                <w:szCs w:val="24"/>
              </w:rPr>
              <w:t>ТПО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,</w:t>
            </w: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АКТГ, ТТГ, ЛГ, ФСГ, СТГ, пролактин,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кортизол, андрогены,</w:t>
            </w: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АДГ, окситоцин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УЗИ щитовидной железы, надпочечников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692" w:rsidRPr="00C4542A" w:rsidTr="00ED322F">
        <w:tc>
          <w:tcPr>
            <w:tcW w:w="6629" w:type="dxa"/>
          </w:tcPr>
          <w:p w:rsidR="00596692" w:rsidRDefault="00596692" w:rsidP="00ED322F">
            <w:pPr>
              <w:autoSpaceDE w:val="0"/>
              <w:autoSpaceDN w:val="0"/>
              <w:adjustRightInd w:val="0"/>
              <w:rPr>
                <w:rFonts w:ascii="Times New Roman" w:eastAsia="BalticaC" w:hAnsi="Times New Roman" w:cs="Times New Roman"/>
                <w:sz w:val="24"/>
                <w:szCs w:val="24"/>
              </w:rPr>
            </w:pP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>КТ и МРТ</w:t>
            </w:r>
            <w:r w:rsidR="005F6B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</w:t>
            </w:r>
            <w:r w:rsidRPr="00517279">
              <w:rPr>
                <w:rFonts w:ascii="Times New Roman" w:eastAsia="BalticaC" w:hAnsi="Times New Roman" w:cs="Times New Roman"/>
                <w:sz w:val="24"/>
                <w:szCs w:val="24"/>
              </w:rPr>
              <w:t>органов</w:t>
            </w:r>
            <w:r w:rsidR="005F6B79">
              <w:rPr>
                <w:rFonts w:ascii="Times New Roman" w:eastAsia="Baltica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lticaC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958" w:type="dxa"/>
          </w:tcPr>
          <w:p w:rsidR="00596692" w:rsidRPr="00C4542A" w:rsidRDefault="00596692" w:rsidP="00ED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6692" w:rsidRPr="00C4542A" w:rsidRDefault="00596692" w:rsidP="00596692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lastRenderedPageBreak/>
        <w:t xml:space="preserve">Признанные лечебные учреждения являются клиническими базами для последипломной подготовки врача </w:t>
      </w:r>
      <w:r>
        <w:rPr>
          <w:rFonts w:ascii="Times New Roman" w:hAnsi="Times New Roman" w:cs="Times New Roman"/>
          <w:sz w:val="24"/>
          <w:szCs w:val="24"/>
        </w:rPr>
        <w:t>- эндокрин</w:t>
      </w:r>
      <w:r w:rsidRPr="00C4542A">
        <w:rPr>
          <w:rFonts w:ascii="Times New Roman" w:hAnsi="Times New Roman" w:cs="Times New Roman"/>
          <w:sz w:val="24"/>
          <w:szCs w:val="24"/>
        </w:rPr>
        <w:t>олога и должны соответствовать требованиям согласно государственным образовательным стандартам.</w:t>
      </w:r>
    </w:p>
    <w:p w:rsidR="005F6B79" w:rsidRDefault="005F6B79" w:rsidP="00596692">
      <w:pPr>
        <w:rPr>
          <w:rFonts w:ascii="Times New Roman" w:hAnsi="Times New Roman" w:cs="Times New Roman"/>
          <w:b/>
          <w:sz w:val="24"/>
          <w:szCs w:val="24"/>
        </w:rPr>
      </w:pPr>
    </w:p>
    <w:p w:rsidR="00596692" w:rsidRPr="00C4542A" w:rsidRDefault="00596692" w:rsidP="00596692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 5.Положение об экзамене/аттестации.</w:t>
      </w:r>
    </w:p>
    <w:p w:rsidR="00596692" w:rsidRDefault="00877C71" w:rsidP="0059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96692" w:rsidRPr="00877C71">
        <w:rPr>
          <w:rFonts w:ascii="Times New Roman" w:hAnsi="Times New Roman" w:cs="Times New Roman"/>
          <w:b/>
          <w:sz w:val="24"/>
          <w:szCs w:val="24"/>
        </w:rPr>
        <w:t>экзамена/аттестации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– определить уровень знаний и п</w:t>
      </w:r>
      <w:r w:rsidR="005F6B79">
        <w:rPr>
          <w:rFonts w:ascii="Times New Roman" w:hAnsi="Times New Roman" w:cs="Times New Roman"/>
          <w:sz w:val="24"/>
          <w:szCs w:val="24"/>
        </w:rPr>
        <w:t xml:space="preserve">рактических навыков </w:t>
      </w:r>
      <w:r w:rsidR="00596692" w:rsidRPr="00C4542A">
        <w:rPr>
          <w:rFonts w:ascii="Times New Roman" w:hAnsi="Times New Roman" w:cs="Times New Roman"/>
          <w:sz w:val="24"/>
          <w:szCs w:val="24"/>
        </w:rPr>
        <w:t>прошедших обучение по специальности врач-</w:t>
      </w:r>
      <w:r w:rsidR="00596692">
        <w:rPr>
          <w:rFonts w:ascii="Times New Roman" w:hAnsi="Times New Roman" w:cs="Times New Roman"/>
          <w:sz w:val="24"/>
          <w:szCs w:val="24"/>
        </w:rPr>
        <w:t>эндокрин</w:t>
      </w:r>
      <w:r w:rsidR="00596692" w:rsidRPr="00C4542A">
        <w:rPr>
          <w:rFonts w:ascii="Times New Roman" w:hAnsi="Times New Roman" w:cs="Times New Roman"/>
          <w:sz w:val="24"/>
          <w:szCs w:val="24"/>
        </w:rPr>
        <w:t>олог в соответствием с каталогом компетенций.</w:t>
      </w:r>
    </w:p>
    <w:p w:rsidR="00877C71" w:rsidRDefault="00877C71" w:rsidP="0059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C71" w:rsidRDefault="00877C71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71">
        <w:rPr>
          <w:rFonts w:ascii="Times New Roman" w:hAnsi="Times New Roman" w:cs="Times New Roman"/>
          <w:b/>
          <w:sz w:val="24"/>
          <w:szCs w:val="24"/>
        </w:rPr>
        <w:t>Экзаменационная ко</w:t>
      </w:r>
      <w:r w:rsidR="005F6B79">
        <w:rPr>
          <w:rFonts w:ascii="Times New Roman" w:hAnsi="Times New Roman" w:cs="Times New Roman"/>
          <w:b/>
          <w:sz w:val="24"/>
          <w:szCs w:val="24"/>
        </w:rPr>
        <w:t>м</w:t>
      </w:r>
      <w:r w:rsidRPr="00877C71">
        <w:rPr>
          <w:rFonts w:ascii="Times New Roman" w:hAnsi="Times New Roman" w:cs="Times New Roman"/>
          <w:b/>
          <w:sz w:val="24"/>
          <w:szCs w:val="24"/>
        </w:rPr>
        <w:t>иссия.</w:t>
      </w:r>
    </w:p>
    <w:p w:rsidR="00877C71" w:rsidRDefault="00877C71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71" w:rsidRDefault="00877C71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комиссии.</w:t>
      </w:r>
    </w:p>
    <w:p w:rsidR="00877C71" w:rsidRPr="00877C71" w:rsidRDefault="00877C71" w:rsidP="005966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7C71">
        <w:rPr>
          <w:rFonts w:ascii="Times New Roman" w:hAnsi="Times New Roman" w:cs="Times New Roman"/>
          <w:sz w:val="24"/>
          <w:szCs w:val="24"/>
          <w:u w:val="single"/>
        </w:rPr>
        <w:t>Состав экзаменационной комиссии:</w:t>
      </w:r>
    </w:p>
    <w:p w:rsidR="00877C71" w:rsidRPr="00877C71" w:rsidRDefault="00877C71" w:rsidP="00596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ФПМО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- 2 представителя ПМА.</w:t>
      </w:r>
    </w:p>
    <w:p w:rsidR="00877C71" w:rsidRPr="00C4542A" w:rsidRDefault="00877C71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7C71">
        <w:rPr>
          <w:rFonts w:ascii="Times New Roman" w:hAnsi="Times New Roman" w:cs="Times New Roman"/>
          <w:sz w:val="24"/>
          <w:szCs w:val="24"/>
          <w:u w:val="single"/>
        </w:rPr>
        <w:t>Задачи экзаменационной/аттестационной комиссионной комиссии:</w:t>
      </w:r>
    </w:p>
    <w:p w:rsidR="00877C71" w:rsidRPr="00877C71" w:rsidRDefault="00877C71" w:rsidP="00596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 чем за 1 месяц до экзамена.</w:t>
      </w:r>
    </w:p>
    <w:p w:rsidR="00877C71" w:rsidRPr="00C4542A" w:rsidRDefault="00877C71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Default="007572A0" w:rsidP="0059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ап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96692" w:rsidRPr="00C4542A">
        <w:rPr>
          <w:rFonts w:ascii="Times New Roman" w:hAnsi="Times New Roman" w:cs="Times New Roman"/>
          <w:b/>
          <w:sz w:val="24"/>
          <w:szCs w:val="24"/>
        </w:rPr>
        <w:t xml:space="preserve">яции. </w:t>
      </w:r>
      <w:r w:rsidR="00596692"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692" w:rsidRPr="00C4542A">
        <w:rPr>
          <w:rFonts w:ascii="Times New Roman" w:hAnsi="Times New Roman" w:cs="Times New Roman"/>
          <w:sz w:val="24"/>
          <w:szCs w:val="24"/>
        </w:rPr>
        <w:t>пел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96692" w:rsidRPr="00C4542A">
        <w:rPr>
          <w:rFonts w:ascii="Times New Roman" w:hAnsi="Times New Roman" w:cs="Times New Roman"/>
          <w:sz w:val="24"/>
          <w:szCs w:val="24"/>
        </w:rPr>
        <w:t>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877C71" w:rsidRPr="00C4542A" w:rsidRDefault="00877C71" w:rsidP="0059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877C71" w:rsidRPr="00C4542A" w:rsidRDefault="00877C71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692" w:rsidRDefault="00877C71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</w:t>
      </w:r>
      <w:r w:rsidR="00596692" w:rsidRPr="00C4542A">
        <w:rPr>
          <w:rFonts w:ascii="Times New Roman" w:hAnsi="Times New Roman" w:cs="Times New Roman"/>
          <w:sz w:val="24"/>
          <w:szCs w:val="24"/>
        </w:rPr>
        <w:t>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рентгены, функциональные осмотры и другие иллюстрации (от 60 до 90 минут).</w:t>
      </w:r>
    </w:p>
    <w:p w:rsidR="00877C71" w:rsidRPr="00C4542A" w:rsidRDefault="00877C71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</w:t>
      </w:r>
      <w:r w:rsidR="00877C71">
        <w:rPr>
          <w:rFonts w:ascii="Times New Roman" w:hAnsi="Times New Roman" w:cs="Times New Roman"/>
          <w:sz w:val="24"/>
          <w:szCs w:val="24"/>
        </w:rPr>
        <w:t>. Ч</w:t>
      </w:r>
      <w:r w:rsidRPr="00C4542A">
        <w:rPr>
          <w:rFonts w:ascii="Times New Roman" w:hAnsi="Times New Roman" w:cs="Times New Roman"/>
          <w:sz w:val="24"/>
          <w:szCs w:val="24"/>
        </w:rPr>
        <w:t>асть: письменный экзамен с н</w:t>
      </w:r>
      <w:r w:rsidR="007572A0">
        <w:rPr>
          <w:rFonts w:ascii="Times New Roman" w:hAnsi="Times New Roman" w:cs="Times New Roman"/>
          <w:sz w:val="24"/>
          <w:szCs w:val="24"/>
        </w:rPr>
        <w:t>есколькими вариантами ответов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C4542A">
        <w:rPr>
          <w:rFonts w:ascii="Times New Roman" w:hAnsi="Times New Roman" w:cs="Times New Roman"/>
          <w:sz w:val="24"/>
          <w:szCs w:val="24"/>
        </w:rPr>
        <w:t>вопросов за 3 часа).</w:t>
      </w:r>
    </w:p>
    <w:p w:rsidR="00877C71" w:rsidRPr="00C4542A" w:rsidRDefault="00877C71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Выпускник последипломной 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>эндокрин</w:t>
      </w:r>
      <w:r w:rsidRPr="00C4542A">
        <w:rPr>
          <w:rFonts w:ascii="Times New Roman" w:hAnsi="Times New Roman" w:cs="Times New Roman"/>
          <w:sz w:val="24"/>
          <w:szCs w:val="24"/>
        </w:rPr>
        <w:t xml:space="preserve">ологии </w:t>
      </w:r>
    </w:p>
    <w:p w:rsidR="00596692" w:rsidRPr="00C4542A" w:rsidRDefault="00596692" w:rsidP="00596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экзамена/аттестации: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Pr="00D313DF" w:rsidRDefault="00596692" w:rsidP="0059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96692" w:rsidRDefault="00596692" w:rsidP="005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92" w:rsidRPr="00CB1F0B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596692" w:rsidRPr="00CB1F0B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596692" w:rsidRPr="00CB1F0B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596692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CB1F0B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CB1F0B">
        <w:rPr>
          <w:rFonts w:ascii="Times New Roman" w:hAnsi="Times New Roman" w:cs="Times New Roman"/>
          <w:sz w:val="24"/>
          <w:szCs w:val="24"/>
        </w:rPr>
        <w:t>, 2015).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компетенции (последипломный уровень) по специальности “Семейный врач/Врач общей практики”.</w:t>
      </w:r>
    </w:p>
    <w:p w:rsidR="00596692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hAnsi="Times New Roman" w:cs="Times New Roman"/>
          <w:sz w:val="24"/>
          <w:szCs w:val="24"/>
        </w:rPr>
        <w:t>Эндокринология. Национальное руководство. Краткоеиздание / под ред. И. И. Дедова, Г. А. Мельниченко. — М. :ГЭОТАР-Медиа, 2013. — 752 с.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hAnsi="Times New Roman" w:cs="Times New Roman"/>
          <w:sz w:val="24"/>
          <w:szCs w:val="24"/>
        </w:rPr>
        <w:t>Алгоритмы специализированной медицинской помощи больным сахарным диабетом / Под редакцией И.И. Дедова, М.В. Шестаковой , А.Ю. Майорова. – 8-й выпуск. – М.: УП ПРИНТ; 2017.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22F">
        <w:rPr>
          <w:rFonts w:ascii="Times New Roman" w:hAnsi="Times New Roman" w:cs="Times New Roman"/>
          <w:sz w:val="24"/>
          <w:szCs w:val="24"/>
        </w:rPr>
        <w:t xml:space="preserve"> Алгоритмы специализированной медицинской помощи больным сахарным диабетом (7-йвыпуск). ПодредакциейИ.И. Дедова, М.В. Шестаковой. // Cахарный диабет. – 2015. –№1S – C. 1-112. </w:t>
      </w:r>
      <w:r w:rsidRPr="00C0622F">
        <w:rPr>
          <w:rFonts w:ascii="Times New Roman" w:hAnsi="Times New Roman" w:cs="Times New Roman"/>
          <w:sz w:val="24"/>
          <w:szCs w:val="24"/>
          <w:lang w:val="en-US"/>
        </w:rPr>
        <w:t>[Dedov II, Shestakova MV, Vikulova OK, et al. Standards ofspecialized diabetes care. Edited by Dedov II, Shestakova MV (7th edition). Diabetes mellitus. 2015;18(1S):1-112.].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22F">
        <w:rPr>
          <w:rFonts w:ascii="Times New Roman" w:hAnsi="Times New Roman" w:cs="Times New Roman"/>
          <w:sz w:val="24"/>
          <w:szCs w:val="24"/>
          <w:lang w:val="en-US"/>
        </w:rPr>
        <w:t xml:space="preserve"> American Diabetes Association. Standards of medical care in diabetes – 2017. Diabetes Care 2017; 40; Suppl 1:S1-135.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22F">
        <w:rPr>
          <w:rFonts w:ascii="Times New Roman" w:hAnsi="Times New Roman" w:cs="Times New Roman"/>
          <w:sz w:val="24"/>
          <w:szCs w:val="24"/>
          <w:lang w:val="en-US"/>
        </w:rPr>
        <w:t xml:space="preserve"> Diagnostic criteria and classification of hyperglycaemia first detected in pregnancy. WHO Guideline. 2013.</w:t>
      </w:r>
    </w:p>
    <w:p w:rsidR="00596692" w:rsidRPr="00C0622F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22F">
        <w:rPr>
          <w:rFonts w:ascii="Times New Roman" w:hAnsi="Times New Roman" w:cs="Times New Roman"/>
          <w:sz w:val="24"/>
          <w:szCs w:val="24"/>
          <w:lang w:val="en-US"/>
        </w:rPr>
        <w:t>Garber AJ, Abrahamson MJ, Barzilay JI, et al. Consensus Statement by the American Association of Clinical Endocrinologists and American College of Endocrinology on the Comprehensive Type 2 Diabetes Management Algorithm – 2017 Executive Summary. EndocrPract. 2017;23(2):207-238. doi: 10.4158/EP161682.CS.</w:t>
      </w:r>
    </w:p>
    <w:p w:rsidR="00596692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hAnsi="Times New Roman" w:cs="Times New Roman"/>
          <w:sz w:val="24"/>
          <w:szCs w:val="24"/>
          <w:lang w:val="en-US"/>
        </w:rPr>
        <w:t>International Diabetes Federation. Diabetes Atlas 7th Edition. 2015.</w:t>
      </w:r>
    </w:p>
    <w:p w:rsidR="00596692" w:rsidRPr="005524E6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22F">
        <w:rPr>
          <w:rFonts w:ascii="Times New Roman" w:hAnsi="Times New Roman" w:cs="Times New Roman"/>
          <w:sz w:val="24"/>
          <w:szCs w:val="24"/>
          <w:lang w:val="en-US"/>
        </w:rPr>
        <w:t>International Diabetes Federation. Managing older people with Type 2 Diabetes.Global Guideline.</w:t>
      </w:r>
      <w:r w:rsidRPr="005524E6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:rsidR="00596692" w:rsidRPr="003D3814" w:rsidRDefault="00596692" w:rsidP="00B77E08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14">
        <w:rPr>
          <w:rFonts w:ascii="Times New Roman" w:hAnsi="Times New Roman" w:cs="Times New Roman"/>
          <w:sz w:val="24"/>
          <w:szCs w:val="24"/>
          <w:lang w:val="en-US"/>
        </w:rPr>
        <w:t xml:space="preserve"> IDF Diabetes Atlas 7th Edition. Brussels, 2015. 142 </w:t>
      </w:r>
      <w:r w:rsidRPr="003D3814">
        <w:rPr>
          <w:rFonts w:ascii="Times New Roman" w:hAnsi="Times New Roman" w:cs="Times New Roman"/>
          <w:sz w:val="24"/>
          <w:szCs w:val="24"/>
        </w:rPr>
        <w:t>р</w:t>
      </w:r>
      <w:r w:rsidRPr="003D38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6692" w:rsidRPr="005426A9" w:rsidRDefault="00596692" w:rsidP="00037377">
      <w:pPr>
        <w:pStyle w:val="a6"/>
        <w:spacing w:after="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3D3814">
        <w:rPr>
          <w:rFonts w:ascii="Times New Roman" w:hAnsi="Times New Roman" w:cs="Times New Roman"/>
          <w:bCs/>
          <w:i w:val="0"/>
        </w:rPr>
        <w:t>15</w:t>
      </w:r>
      <w:r w:rsidRPr="005426A9">
        <w:rPr>
          <w:rFonts w:ascii="Times New Roman" w:hAnsi="Times New Roman" w:cs="Times New Roman"/>
          <w:bCs/>
          <w:i w:val="0"/>
          <w:color w:val="auto"/>
        </w:rPr>
        <w:t>. Клиническое руководство  по диагностике и лечению сахарного диабета 2 типа на первичном уровне здравоохранения</w:t>
      </w:r>
      <w:r w:rsidR="003D3814" w:rsidRPr="005426A9">
        <w:rPr>
          <w:rFonts w:ascii="Times New Roman" w:hAnsi="Times New Roman" w:cs="Times New Roman"/>
          <w:bCs/>
          <w:i w:val="0"/>
          <w:color w:val="auto"/>
        </w:rPr>
        <w:t>КР</w:t>
      </w:r>
      <w:r w:rsidRPr="005426A9">
        <w:rPr>
          <w:rFonts w:ascii="Times New Roman" w:hAnsi="Times New Roman" w:cs="Times New Roman"/>
          <w:bCs/>
          <w:i w:val="0"/>
          <w:color w:val="auto"/>
        </w:rPr>
        <w:t>,  Бишкек-2008. 110с</w:t>
      </w:r>
      <w:r w:rsidR="003D3814" w:rsidRPr="005426A9">
        <w:rPr>
          <w:rFonts w:ascii="Times New Roman" w:hAnsi="Times New Roman" w:cs="Times New Roman"/>
          <w:bCs/>
          <w:i w:val="0"/>
          <w:color w:val="auto"/>
        </w:rPr>
        <w:t>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Аметов, А.С. Эндокринология [Электронный ресурс]: учеб. / А.С. Аметов, С.Б. Шустов, Ю.Ш. Халимов, - М. : ГЭОТАР-Медиа, 2016. - 352 с. –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17.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И. И. Дедов, Г. А. Мельниченко. Эндокринология: национальное руководство: краткое издание.М.: ГЭОТАР-Медиа, 2016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18.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Мкртумян А.М., НелаеваА.А.Неотложная эндокринология: учебное пособие. М., 2010.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19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Колода Д.Е..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Фармакотерапия в эндокринологии :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Москва, 2011 Режим доступа: http://www.studentlibrary.ru/book/970406779V0003.html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20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Эндокринология: руководство для врачей : в 2 томах. Т. 1 : Заболевания гипофиза, щитовидной железы и надпочечников / под ред. С. Б. Шустова. - Санкт-Петербург: СпецЛит, 2011. - 400 с. : ил. - (Руководство для врачей)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21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 xml:space="preserve"> Эндокринология: руководство для врачей : в 2 томах. Т. 2 : Заболевания поджелудочной железы, паращитовидных и половых желез / под ред. С. Б. Шустова. - Санкт-Петербург :СпецЛит, 2011. - 432 с. : ил. - (Руководство для врачей)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22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Довлатян А.А. Почечные осложнения сахарного диабета. Клиника, диагностика, тактика лечения : руководство для врачей / А. А. Довлатян. - Москва : БИНОМ, 2013. - 308 с. : ил.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23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Древаль А. В. Профилактика поздних макрососудистых осложнений сахарного диабета : руководство / А. В. Древаль, И. В. Мисникова, Ю. А. Ковалева. - Москва : ГЭОТАР-Медиа, 2014. - 80 с. - (Библиотека врача- специалиста : эндокринология)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24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 xml:space="preserve"> Манухин И. Б. Гинекологическая эндокринология. Клинические лекции : руководство / И. Б. Манухин, Л. Г. Тумилович, М. А. Геворкян. - 2-е изд.,перераб. - Москва : ГЭОТАР-Медиа, 2013. - 272 с.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25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 xml:space="preserve"> Петунина Н.А. Болезни щитовидной железы : [руководство] / Нина Петунина, Любовь Трухина. - М. : ГЭОТАР-Медиа, 2011. - 216 с. : ил. - (Библиотека врача-специалиста).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26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И.И.Дедов, В.А.Петеркова /Федеральные клинические рекомендации (протоколы) по ведению детей с эндокринными заболеваниями.М.: Практика 2014. – 442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814" w:rsidRPr="005426A9" w:rsidRDefault="005426A9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A9">
        <w:rPr>
          <w:rFonts w:ascii="Times New Roman" w:hAnsi="Times New Roman" w:cs="Times New Roman"/>
          <w:sz w:val="24"/>
          <w:szCs w:val="24"/>
        </w:rPr>
        <w:t>27</w:t>
      </w:r>
      <w:r w:rsidR="003D3814" w:rsidRPr="005426A9">
        <w:rPr>
          <w:rFonts w:ascii="Times New Roman" w:hAnsi="Times New Roman" w:cs="Times New Roman"/>
          <w:sz w:val="24"/>
          <w:szCs w:val="24"/>
        </w:rPr>
        <w:t>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Султаналиева Р.Б Князева В.Г., Добрынина Н.П., Курганская М.Ю.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Хронические и острые осложнения СД 2 типа./Клинический протокол</w:t>
      </w:r>
      <w:r w:rsidR="003D3814" w:rsidRPr="005426A9">
        <w:rPr>
          <w:rFonts w:ascii="Times New Roman" w:hAnsi="Times New Roman" w:cs="Times New Roman"/>
          <w:sz w:val="24"/>
          <w:szCs w:val="24"/>
        </w:rPr>
        <w:tab/>
        <w:t>Бишкек, 2017, с. 47</w:t>
      </w:r>
      <w:r w:rsidR="00C70717">
        <w:rPr>
          <w:rFonts w:ascii="Times New Roman" w:hAnsi="Times New Roman" w:cs="Times New Roman"/>
          <w:sz w:val="24"/>
          <w:szCs w:val="24"/>
        </w:rPr>
        <w:t>.</w:t>
      </w:r>
    </w:p>
    <w:p w:rsidR="00E95DFB" w:rsidRPr="005426A9" w:rsidRDefault="00E95DFB" w:rsidP="0003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5DFB" w:rsidRPr="005426A9" w:rsidSect="00ED322F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B7" w:rsidRDefault="009404B7">
      <w:pPr>
        <w:spacing w:after="0" w:line="240" w:lineRule="auto"/>
      </w:pPr>
      <w:r>
        <w:separator/>
      </w:r>
    </w:p>
  </w:endnote>
  <w:endnote w:type="continuationSeparator" w:id="0">
    <w:p w:rsidR="009404B7" w:rsidRDefault="0094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0783"/>
      <w:docPartObj>
        <w:docPartGallery w:val="Page Numbers (Bottom of Page)"/>
        <w:docPartUnique/>
      </w:docPartObj>
    </w:sdtPr>
    <w:sdtEndPr/>
    <w:sdtContent>
      <w:p w:rsidR="005F6B79" w:rsidRDefault="005F6B79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B79" w:rsidRDefault="005F6B7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B7" w:rsidRDefault="009404B7">
      <w:pPr>
        <w:spacing w:after="0" w:line="240" w:lineRule="auto"/>
      </w:pPr>
      <w:r>
        <w:separator/>
      </w:r>
    </w:p>
  </w:footnote>
  <w:footnote w:type="continuationSeparator" w:id="0">
    <w:p w:rsidR="009404B7" w:rsidRDefault="0094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558"/>
    <w:multiLevelType w:val="hybridMultilevel"/>
    <w:tmpl w:val="A72A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4E4"/>
    <w:multiLevelType w:val="hybridMultilevel"/>
    <w:tmpl w:val="225A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3A38"/>
    <w:multiLevelType w:val="hybridMultilevel"/>
    <w:tmpl w:val="83E4697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C7902"/>
    <w:multiLevelType w:val="hybridMultilevel"/>
    <w:tmpl w:val="7B48EF98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73E82"/>
    <w:multiLevelType w:val="hybridMultilevel"/>
    <w:tmpl w:val="66F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242"/>
    <w:multiLevelType w:val="multilevel"/>
    <w:tmpl w:val="BE4A9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54DA8"/>
    <w:multiLevelType w:val="hybridMultilevel"/>
    <w:tmpl w:val="D6D8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9619D"/>
    <w:multiLevelType w:val="hybridMultilevel"/>
    <w:tmpl w:val="0E38C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4069D"/>
    <w:multiLevelType w:val="hybridMultilevel"/>
    <w:tmpl w:val="C014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1603C"/>
    <w:multiLevelType w:val="multilevel"/>
    <w:tmpl w:val="5B8A21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EB3C48"/>
    <w:multiLevelType w:val="hybridMultilevel"/>
    <w:tmpl w:val="B3B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82B31"/>
    <w:multiLevelType w:val="hybridMultilevel"/>
    <w:tmpl w:val="6E5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12C4F"/>
    <w:multiLevelType w:val="hybridMultilevel"/>
    <w:tmpl w:val="241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E20D7"/>
    <w:multiLevelType w:val="hybridMultilevel"/>
    <w:tmpl w:val="CFD6E48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692"/>
    <w:rsid w:val="00037377"/>
    <w:rsid w:val="00040937"/>
    <w:rsid w:val="00040FDD"/>
    <w:rsid w:val="0016190E"/>
    <w:rsid w:val="001A6E01"/>
    <w:rsid w:val="001B1AE9"/>
    <w:rsid w:val="00233596"/>
    <w:rsid w:val="00297272"/>
    <w:rsid w:val="00302A9F"/>
    <w:rsid w:val="003548B4"/>
    <w:rsid w:val="00357DA3"/>
    <w:rsid w:val="0036661E"/>
    <w:rsid w:val="003D186C"/>
    <w:rsid w:val="003D3814"/>
    <w:rsid w:val="00421336"/>
    <w:rsid w:val="00423F79"/>
    <w:rsid w:val="00493E25"/>
    <w:rsid w:val="004B0CAA"/>
    <w:rsid w:val="005234D9"/>
    <w:rsid w:val="00527CA5"/>
    <w:rsid w:val="005426A9"/>
    <w:rsid w:val="00581BB2"/>
    <w:rsid w:val="00596692"/>
    <w:rsid w:val="005F6B79"/>
    <w:rsid w:val="006532BD"/>
    <w:rsid w:val="00674592"/>
    <w:rsid w:val="00705667"/>
    <w:rsid w:val="007150FD"/>
    <w:rsid w:val="00752A6C"/>
    <w:rsid w:val="007572A0"/>
    <w:rsid w:val="00765D10"/>
    <w:rsid w:val="00771D68"/>
    <w:rsid w:val="00784674"/>
    <w:rsid w:val="007D65BC"/>
    <w:rsid w:val="00871426"/>
    <w:rsid w:val="00877C71"/>
    <w:rsid w:val="00883AF3"/>
    <w:rsid w:val="00896303"/>
    <w:rsid w:val="008D71F4"/>
    <w:rsid w:val="00907747"/>
    <w:rsid w:val="00917F66"/>
    <w:rsid w:val="009404B7"/>
    <w:rsid w:val="009462AC"/>
    <w:rsid w:val="009B6E96"/>
    <w:rsid w:val="00A440E5"/>
    <w:rsid w:val="00AD2F93"/>
    <w:rsid w:val="00B0177A"/>
    <w:rsid w:val="00B25457"/>
    <w:rsid w:val="00B309B0"/>
    <w:rsid w:val="00B466E4"/>
    <w:rsid w:val="00B77E08"/>
    <w:rsid w:val="00B97EC2"/>
    <w:rsid w:val="00C12BF4"/>
    <w:rsid w:val="00C31604"/>
    <w:rsid w:val="00C70676"/>
    <w:rsid w:val="00C70717"/>
    <w:rsid w:val="00C73866"/>
    <w:rsid w:val="00C80974"/>
    <w:rsid w:val="00CA18E7"/>
    <w:rsid w:val="00CC3B29"/>
    <w:rsid w:val="00CD19A6"/>
    <w:rsid w:val="00D43916"/>
    <w:rsid w:val="00D73C9B"/>
    <w:rsid w:val="00E3028A"/>
    <w:rsid w:val="00E34541"/>
    <w:rsid w:val="00E42919"/>
    <w:rsid w:val="00E93FE9"/>
    <w:rsid w:val="00E95DFB"/>
    <w:rsid w:val="00ED322F"/>
    <w:rsid w:val="00FA4A80"/>
    <w:rsid w:val="00FE019C"/>
    <w:rsid w:val="00FE318A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30E4-941C-4A90-A166-F656336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9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6190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90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90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90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90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6190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90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90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90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90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rsid w:val="00161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19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619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6190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190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619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16190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rsid w:val="0016190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6190E"/>
    <w:rPr>
      <w:b/>
      <w:bCs/>
      <w:spacing w:val="0"/>
    </w:rPr>
  </w:style>
  <w:style w:type="character" w:styleId="a9">
    <w:name w:val="Emphasis"/>
    <w:uiPriority w:val="20"/>
    <w:qFormat/>
    <w:rsid w:val="0016190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6190E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61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90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6190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6190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619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6190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6190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6190E"/>
    <w:rPr>
      <w:smallCaps/>
    </w:rPr>
  </w:style>
  <w:style w:type="character" w:styleId="af1">
    <w:name w:val="Intense Reference"/>
    <w:uiPriority w:val="32"/>
    <w:qFormat/>
    <w:rsid w:val="0016190E"/>
    <w:rPr>
      <w:b/>
      <w:bCs/>
      <w:smallCaps/>
      <w:color w:val="auto"/>
    </w:rPr>
  </w:style>
  <w:style w:type="character" w:styleId="af2">
    <w:name w:val="Book Title"/>
    <w:uiPriority w:val="33"/>
    <w:qFormat/>
    <w:rsid w:val="001619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90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6692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uiPriority w:val="59"/>
    <w:rsid w:val="00596692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96692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"/>
    <w:basedOn w:val="a"/>
    <w:link w:val="af8"/>
    <w:rsid w:val="00596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59669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596692"/>
    <w:rPr>
      <w:rFonts w:eastAsiaTheme="minorEastAsia"/>
      <w:lang w:val="ru-RU" w:eastAsia="ru-RU" w:bidi="ar-SA"/>
    </w:rPr>
  </w:style>
  <w:style w:type="paragraph" w:styleId="afa">
    <w:name w:val="header"/>
    <w:basedOn w:val="a"/>
    <w:link w:val="af9"/>
    <w:uiPriority w:val="99"/>
    <w:semiHidden/>
    <w:unhideWhenUsed/>
    <w:rsid w:val="005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96692"/>
    <w:rPr>
      <w:rFonts w:eastAsiaTheme="minorEastAsia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5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96692"/>
    <w:rPr>
      <w:rFonts w:eastAsiaTheme="minorEastAsia"/>
      <w:lang w:val="ru-RU" w:eastAsia="ru-RU" w:bidi="ar-SA"/>
    </w:rPr>
  </w:style>
  <w:style w:type="paragraph" w:customStyle="1" w:styleId="Pa18">
    <w:name w:val="Pa18"/>
    <w:basedOn w:val="a"/>
    <w:next w:val="a"/>
    <w:uiPriority w:val="99"/>
    <w:rsid w:val="005966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5966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6692"/>
    <w:rPr>
      <w:rFonts w:eastAsiaTheme="minorEastAsia"/>
      <w:lang w:val="ru-RU" w:eastAsia="ru-RU" w:bidi="ar-SA"/>
    </w:rPr>
  </w:style>
  <w:style w:type="paragraph" w:customStyle="1" w:styleId="Default">
    <w:name w:val="Default"/>
    <w:rsid w:val="00ED322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3E17-3DB6-4AAF-BE41-74AC6A8C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26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Nurida</cp:lastModifiedBy>
  <cp:revision>32</cp:revision>
  <dcterms:created xsi:type="dcterms:W3CDTF">2018-06-25T10:17:00Z</dcterms:created>
  <dcterms:modified xsi:type="dcterms:W3CDTF">2018-10-30T14:15:00Z</dcterms:modified>
</cp:coreProperties>
</file>